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794AB49E"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90</w:t>
        </w:r>
      </w:hyperlink>
      <w:r w:rsidR="006358BA">
        <w:rPr>
          <w:b/>
          <w:i/>
          <w:noProof/>
          <w:sz w:val="28"/>
        </w:rPr>
        <w:tab/>
      </w:r>
      <w:r w:rsidR="00267E9F" w:rsidRPr="00267E9F">
        <w:rPr>
          <w:rFonts w:cs="Arial"/>
          <w:b/>
          <w:sz w:val="24"/>
          <w:szCs w:val="24"/>
        </w:rPr>
        <w:t>R4-1901682</w:t>
      </w:r>
    </w:p>
    <w:p w14:paraId="1DC42D61" w14:textId="77777777" w:rsidR="000D1D77" w:rsidRDefault="00CB7907" w:rsidP="000D1D77">
      <w:pPr>
        <w:pStyle w:val="CRCoverPage"/>
        <w:outlineLvl w:val="0"/>
        <w:rPr>
          <w:b/>
          <w:noProof/>
          <w:sz w:val="24"/>
        </w:rPr>
      </w:pPr>
      <w:r>
        <w:rPr>
          <w:b/>
          <w:bCs/>
          <w:noProof/>
          <w:sz w:val="22"/>
          <w:lang w:eastAsia="zh-CN"/>
        </w:rPr>
        <w:t>Athens</w:t>
      </w:r>
      <w:r w:rsidR="000D1D77" w:rsidRPr="002D0993">
        <w:rPr>
          <w:b/>
          <w:bCs/>
          <w:noProof/>
          <w:sz w:val="22"/>
          <w:lang w:eastAsia="zh-CN"/>
        </w:rPr>
        <w:t xml:space="preserve">, </w:t>
      </w:r>
      <w:r>
        <w:rPr>
          <w:b/>
          <w:bCs/>
          <w:noProof/>
          <w:sz w:val="22"/>
          <w:lang w:eastAsia="zh-CN"/>
        </w:rPr>
        <w:t>Greece</w:t>
      </w:r>
      <w:r w:rsidR="000D1D77" w:rsidRPr="002D0993">
        <w:rPr>
          <w:b/>
          <w:bCs/>
          <w:noProof/>
          <w:sz w:val="22"/>
          <w:lang w:eastAsia="zh-CN"/>
        </w:rPr>
        <w:t xml:space="preserve">, </w:t>
      </w:r>
      <w:r>
        <w:rPr>
          <w:b/>
          <w:bCs/>
          <w:noProof/>
          <w:sz w:val="22"/>
          <w:lang w:eastAsia="zh-CN"/>
        </w:rPr>
        <w:t>25</w:t>
      </w:r>
      <w:r w:rsidR="000D1D77" w:rsidRPr="000B5CEB">
        <w:rPr>
          <w:b/>
          <w:bCs/>
          <w:noProof/>
          <w:sz w:val="22"/>
          <w:vertAlign w:val="superscript"/>
          <w:lang w:eastAsia="zh-CN"/>
        </w:rPr>
        <w:t>th</w:t>
      </w:r>
      <w:r w:rsidR="000D1D77">
        <w:rPr>
          <w:b/>
          <w:bCs/>
          <w:noProof/>
          <w:sz w:val="22"/>
          <w:lang w:eastAsia="zh-CN"/>
        </w:rPr>
        <w:t xml:space="preserve"> </w:t>
      </w:r>
      <w:r>
        <w:rPr>
          <w:b/>
          <w:bCs/>
          <w:noProof/>
          <w:sz w:val="22"/>
          <w:lang w:eastAsia="zh-CN"/>
        </w:rPr>
        <w:t xml:space="preserve">February </w:t>
      </w:r>
      <w:r w:rsidR="000D1D77" w:rsidRPr="002D0993">
        <w:rPr>
          <w:b/>
          <w:bCs/>
          <w:noProof/>
          <w:sz w:val="22"/>
          <w:lang w:eastAsia="zh-CN"/>
        </w:rPr>
        <w:t xml:space="preserve">– </w:t>
      </w:r>
      <w:r>
        <w:rPr>
          <w:b/>
          <w:bCs/>
          <w:noProof/>
          <w:sz w:val="22"/>
          <w:lang w:eastAsia="zh-CN"/>
        </w:rPr>
        <w:t>1</w:t>
      </w:r>
      <w:r w:rsidRPr="00CB7907">
        <w:rPr>
          <w:b/>
          <w:bCs/>
          <w:noProof/>
          <w:sz w:val="22"/>
          <w:vertAlign w:val="superscript"/>
          <w:lang w:eastAsia="zh-CN"/>
        </w:rPr>
        <w:t>st</w:t>
      </w:r>
      <w:r>
        <w:rPr>
          <w:b/>
          <w:bCs/>
          <w:noProof/>
          <w:sz w:val="22"/>
          <w:lang w:eastAsia="zh-CN"/>
        </w:rPr>
        <w:t xml:space="preserve"> March</w:t>
      </w:r>
      <w:r w:rsidR="000D1D77" w:rsidRPr="002D0993">
        <w:rPr>
          <w:b/>
          <w:bCs/>
          <w:noProof/>
          <w:sz w:val="22"/>
          <w:lang w:eastAsia="zh-CN"/>
        </w:rPr>
        <w:t xml:space="preserve"> 201</w:t>
      </w:r>
      <w:r>
        <w:rPr>
          <w:b/>
          <w:bCs/>
          <w:noProof/>
          <w:sz w:val="22"/>
          <w:lang w:eastAsia="zh-CN"/>
        </w:rPr>
        <w:t>9</w:t>
      </w:r>
    </w:p>
    <w:p w14:paraId="0A0D91D2" w14:textId="4C42F7BC"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2E65D4">
        <w:rPr>
          <w:rFonts w:ascii="Arial" w:hAnsi="Arial" w:cs="Arial"/>
          <w:sz w:val="22"/>
        </w:rPr>
        <w:t>, Nokia.</w:t>
      </w:r>
    </w:p>
    <w:p w14:paraId="459FE5E1" w14:textId="7777777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77141">
        <w:rPr>
          <w:rFonts w:cs="Arial"/>
          <w:sz w:val="22"/>
        </w:rPr>
        <w:t>Back-Off Measurements for DC_(n)71AA A</w:t>
      </w:r>
      <w:r w:rsidR="00ED1CFE">
        <w:rPr>
          <w:rFonts w:cs="Arial"/>
          <w:sz w:val="22"/>
        </w:rPr>
        <w:t>-</w:t>
      </w:r>
      <w:r w:rsidR="00577141">
        <w:rPr>
          <w:rFonts w:cs="Arial"/>
          <w:sz w:val="22"/>
        </w:rPr>
        <w:t>MPR</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77777777"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77141">
        <w:rPr>
          <w:rFonts w:ascii="Arial" w:eastAsia="SimSun" w:hAnsi="Arial" w:cs="Arial"/>
          <w:sz w:val="22"/>
          <w:lang w:eastAsia="zh-CN"/>
        </w:rPr>
        <w:t xml:space="preserve">6.7.4.3.3 </w:t>
      </w:r>
      <w:r w:rsidR="00577141" w:rsidRPr="00EC54E6">
        <w:rPr>
          <w:rFonts w:ascii="Arial" w:eastAsia="SimSun" w:hAnsi="Arial" w:cs="Arial"/>
          <w:sz w:val="22"/>
          <w:lang w:eastAsia="zh-CN"/>
        </w:rPr>
        <w:t>Intra band EN-DC A-MPR [</w:t>
      </w:r>
      <w:proofErr w:type="spellStart"/>
      <w:r w:rsidR="00577141" w:rsidRPr="00EC54E6">
        <w:rPr>
          <w:rFonts w:ascii="Arial" w:eastAsia="SimSun" w:hAnsi="Arial" w:cs="Arial"/>
          <w:sz w:val="22"/>
          <w:lang w:eastAsia="zh-CN"/>
        </w:rPr>
        <w:t>NR_newRAT</w:t>
      </w:r>
      <w:proofErr w:type="spellEnd"/>
      <w:r w:rsidR="00577141" w:rsidRPr="00EC54E6">
        <w:rPr>
          <w:rFonts w:ascii="Arial" w:eastAsia="SimSun" w:hAnsi="Arial" w:cs="Arial"/>
          <w:sz w:val="22"/>
          <w:lang w:eastAsia="zh-CN"/>
        </w:rPr>
        <w:t>-Core]</w:t>
      </w:r>
    </w:p>
    <w:p w14:paraId="2E5C6AEA" w14:textId="77777777"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57714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7FC3D59" w:rsidR="00577141" w:rsidRPr="00266639" w:rsidRDefault="00577141" w:rsidP="00577141">
      <w:pPr>
        <w:overflowPunct/>
        <w:autoSpaceDE/>
        <w:autoSpaceDN/>
        <w:adjustRightInd/>
        <w:spacing w:after="0"/>
        <w:jc w:val="both"/>
        <w:textAlignment w:val="auto"/>
        <w:rPr>
          <w:rFonts w:eastAsia="SimSun"/>
          <w:lang w:eastAsia="zh-CN"/>
        </w:rPr>
      </w:pPr>
      <w:r>
        <w:rPr>
          <w:rFonts w:eastAsia="SimSun"/>
          <w:lang w:eastAsia="zh-CN"/>
        </w:rPr>
        <w:t xml:space="preserve">In RAN#82, a 1dB increase in A-MPR for UE </w:t>
      </w:r>
      <w:r w:rsidRPr="00EC54E6">
        <w:rPr>
          <w:rFonts w:eastAsia="SimSun"/>
          <w:lang w:eastAsia="zh-CN"/>
        </w:rPr>
        <w:t xml:space="preserve">supporting dynamic power sharing </w:t>
      </w:r>
      <w:r>
        <w:rPr>
          <w:rFonts w:eastAsia="SimSun"/>
          <w:lang w:eastAsia="zh-CN"/>
        </w:rPr>
        <w:t>[1] has been introduced for DC_(n)71AA operation</w:t>
      </w:r>
      <w:r>
        <w:rPr>
          <w:rFonts w:eastAsia="MS Mincho"/>
        </w:rPr>
        <w:t>. It has also been agreed in [1] to perform a conditional check on the difference of power spectral density between the configured transmission power of MCG and SCG with a [6dB] value tentatively proposed in brackets. In this contribution both simulation and experimental measurements are provided to verify the validity of these changes.</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77777777" w:rsidR="00577141" w:rsidRPr="00577141" w:rsidRDefault="00577141" w:rsidP="00577141">
      <w:pPr>
        <w:pStyle w:val="Heading2"/>
        <w:spacing w:after="240"/>
      </w:pPr>
      <w:r w:rsidRPr="00577141">
        <w:t>Simulation and measurement assumptions</w:t>
      </w:r>
    </w:p>
    <w:p w14:paraId="5CBD65AD" w14:textId="77777777" w:rsidR="00577141" w:rsidRDefault="00577141" w:rsidP="00577141">
      <w:r>
        <w:t>Assumptions are based on previous contribution [2].</w:t>
      </w:r>
    </w:p>
    <w:p w14:paraId="68F2968E" w14:textId="77777777" w:rsidR="00577141" w:rsidRDefault="00577141" w:rsidP="00577141">
      <w:r>
        <w:t>LTE takes LTE MPR as if transmitted alone. LTE power denoted “P</w:t>
      </w:r>
      <w:r w:rsidR="00A35D50" w:rsidRPr="00A35D50">
        <w:rPr>
          <w:vertAlign w:val="subscript"/>
        </w:rPr>
        <w:t>LTE</w:t>
      </w:r>
      <w:r>
        <w:t xml:space="preserve">” is limited to power levels ranging from 14 to 22 </w:t>
      </w:r>
      <w:proofErr w:type="spellStart"/>
      <w:r>
        <w:t>dBm</w:t>
      </w:r>
      <w:proofErr w:type="spellEnd"/>
      <w:r>
        <w:t xml:space="preserve">. </w:t>
      </w:r>
    </w:p>
    <w:p w14:paraId="3D86B754" w14:textId="77777777" w:rsidR="00577141" w:rsidRDefault="00577141" w:rsidP="00577141">
      <w:r>
        <w:t>For each P</w:t>
      </w:r>
      <w:r w:rsidR="00A35D50" w:rsidRPr="00A35D50">
        <w:rPr>
          <w:vertAlign w:val="subscript"/>
        </w:rPr>
        <w:t>LTE</w:t>
      </w:r>
      <w:r>
        <w:t>, NR power, denoted “P</w:t>
      </w:r>
      <w:r w:rsidR="00A35D50" w:rsidRPr="00A35D50">
        <w:rPr>
          <w:vertAlign w:val="subscript"/>
        </w:rPr>
        <w:t>NR</w:t>
      </w:r>
      <w:r>
        <w:t>” is swept to determine the NR A-MPR in order to meet emission limits and/or keep total power within power class limit. EN-DC power class 3 is assumed and:</w:t>
      </w:r>
    </w:p>
    <w:p w14:paraId="7433E103" w14:textId="77777777" w:rsidR="00577141" w:rsidRDefault="00577141" w:rsidP="00577141">
      <w:pPr>
        <w:numPr>
          <w:ilvl w:val="0"/>
          <w:numId w:val="18"/>
        </w:numPr>
      </w:pPr>
      <w:r>
        <w:t>LTE modulation: always QPSK (to maximize LTE power, hence minimizing the power quota left for NR),</w:t>
      </w:r>
    </w:p>
    <w:p w14:paraId="054C2595" w14:textId="77777777" w:rsidR="00577141" w:rsidRDefault="00577141" w:rsidP="00577141">
      <w:pPr>
        <w:numPr>
          <w:ilvl w:val="0"/>
          <w:numId w:val="18"/>
        </w:numPr>
      </w:pPr>
      <w:r>
        <w:t>NR subcarrier spacing: 15 kHz,</w:t>
      </w:r>
    </w:p>
    <w:p w14:paraId="554A7169" w14:textId="77777777" w:rsidR="00577141" w:rsidRDefault="00577141" w:rsidP="00577141">
      <w:pPr>
        <w:numPr>
          <w:ilvl w:val="0"/>
          <w:numId w:val="18"/>
        </w:numPr>
      </w:pPr>
      <w:r>
        <w:t xml:space="preserve">NR modulation: QPSK, </w:t>
      </w:r>
    </w:p>
    <w:p w14:paraId="23EDB066" w14:textId="77777777" w:rsidR="00577141" w:rsidRDefault="00577141" w:rsidP="00577141">
      <w:pPr>
        <w:numPr>
          <w:ilvl w:val="0"/>
          <w:numId w:val="18"/>
        </w:numPr>
      </w:pPr>
      <w:r>
        <w:t>NR waveforms: CP-OFDM and DFT-S-OFDM</w:t>
      </w:r>
    </w:p>
    <w:p w14:paraId="7094F811" w14:textId="77777777" w:rsidR="00577141" w:rsidRDefault="00577141" w:rsidP="00577141">
      <w:pPr>
        <w:numPr>
          <w:ilvl w:val="0"/>
          <w:numId w:val="18"/>
        </w:numPr>
      </w:pPr>
      <w:r>
        <w:t>Carrier and image suppression 28 dB,</w:t>
      </w:r>
    </w:p>
    <w:p w14:paraId="1DFD9B2A" w14:textId="77777777" w:rsidR="00577141" w:rsidRDefault="00577141" w:rsidP="00577141">
      <w:pPr>
        <w:numPr>
          <w:ilvl w:val="0"/>
          <w:numId w:val="18"/>
        </w:numPr>
      </w:pPr>
      <w:r>
        <w:t xml:space="preserve">EN-DC ACLR according to 38.101-3, </w:t>
      </w:r>
    </w:p>
    <w:p w14:paraId="25365ED2" w14:textId="77777777" w:rsidR="00577141" w:rsidRDefault="00577141" w:rsidP="00577141">
      <w:pPr>
        <w:numPr>
          <w:ilvl w:val="0"/>
          <w:numId w:val="18"/>
        </w:numPr>
      </w:pPr>
      <w:r>
        <w:t xml:space="preserve">SEM according to 38.101-3, </w:t>
      </w:r>
    </w:p>
    <w:p w14:paraId="31E0597C" w14:textId="77777777" w:rsidR="00577141" w:rsidRDefault="00577141" w:rsidP="00577141">
      <w:pPr>
        <w:numPr>
          <w:ilvl w:val="0"/>
          <w:numId w:val="18"/>
        </w:numPr>
      </w:pPr>
      <w:r>
        <w:t>General spurious emission limit from 38.101-1,</w:t>
      </w:r>
    </w:p>
    <w:p w14:paraId="06D5B08F" w14:textId="43CB9769" w:rsidR="00577141" w:rsidRDefault="00577141" w:rsidP="00577141">
      <w:pPr>
        <w:numPr>
          <w:ilvl w:val="0"/>
          <w:numId w:val="18"/>
        </w:numPr>
      </w:pPr>
      <w:r>
        <w:t>Band 12 and 29 co-existence limits according to specifications and duplexer rejection assumptions as in previous agreements,</w:t>
      </w:r>
    </w:p>
    <w:p w14:paraId="747C6D89" w14:textId="73F8B46E" w:rsidR="00C742D6" w:rsidRDefault="001D5D03" w:rsidP="00577141">
      <w:pPr>
        <w:numPr>
          <w:ilvl w:val="0"/>
          <w:numId w:val="18"/>
        </w:numPr>
      </w:pPr>
      <w:r>
        <w:t>Compared to [2], a 50dB duplexer rejection is assumed for protection of downlink band 71</w:t>
      </w:r>
      <w:r w:rsidR="00C742D6">
        <w:t>.</w:t>
      </w:r>
    </w:p>
    <w:p w14:paraId="4EE30E81" w14:textId="77777777" w:rsidR="00577141" w:rsidRDefault="00577141" w:rsidP="00577141">
      <w:pPr>
        <w:numPr>
          <w:ilvl w:val="0"/>
          <w:numId w:val="18"/>
        </w:numPr>
      </w:pPr>
      <w:r>
        <w:t>EVM and in-band emissions ignored,</w:t>
      </w:r>
    </w:p>
    <w:p w14:paraId="77B0394F" w14:textId="77777777" w:rsidR="00577141" w:rsidRDefault="00577141" w:rsidP="00577141">
      <w:pPr>
        <w:numPr>
          <w:ilvl w:val="0"/>
          <w:numId w:val="18"/>
        </w:numPr>
      </w:pPr>
      <w:r>
        <w:t xml:space="preserve">Power Amplifier (PA) to antenna insertion losses of 4 </w:t>
      </w:r>
      <w:proofErr w:type="spellStart"/>
      <w:r>
        <w:t>dB.</w:t>
      </w:r>
      <w:proofErr w:type="spellEnd"/>
      <w:r>
        <w:t xml:space="preserve"> </w:t>
      </w:r>
    </w:p>
    <w:p w14:paraId="215F1997" w14:textId="77777777" w:rsidR="00C742D6" w:rsidRDefault="00577141" w:rsidP="00577141">
      <w:pPr>
        <w:numPr>
          <w:ilvl w:val="0"/>
          <w:numId w:val="18"/>
        </w:numPr>
      </w:pPr>
      <w:r>
        <w:t xml:space="preserve">PA linearity calibration point: </w:t>
      </w:r>
    </w:p>
    <w:p w14:paraId="3E9392B8" w14:textId="62CA5799" w:rsidR="00577141" w:rsidRDefault="00C742D6" w:rsidP="00830BAE">
      <w:pPr>
        <w:numPr>
          <w:ilvl w:val="1"/>
          <w:numId w:val="18"/>
        </w:numPr>
      </w:pPr>
      <w:r>
        <w:t xml:space="preserve">Simulation: </w:t>
      </w:r>
      <w:r w:rsidR="00577141">
        <w:t xml:space="preserve">QPSK 100RB DFT-S-OFDM signal with </w:t>
      </w:r>
      <w:r>
        <w:t>0.5</w:t>
      </w:r>
      <w:r w:rsidR="00577141">
        <w:t>dB MPR.</w:t>
      </w:r>
    </w:p>
    <w:p w14:paraId="242E98C1" w14:textId="2DC9059B" w:rsidR="00C742D6" w:rsidRDefault="00C742D6" w:rsidP="00830BAE">
      <w:pPr>
        <w:numPr>
          <w:ilvl w:val="1"/>
          <w:numId w:val="18"/>
        </w:numPr>
      </w:pPr>
      <w:r>
        <w:t>Measurements: QPSK 100RB DFT-S-OFDM signal with 1dB MPR.</w:t>
      </w:r>
    </w:p>
    <w:p w14:paraId="3E7082F9" w14:textId="77777777" w:rsidR="00577141" w:rsidRDefault="00577141" w:rsidP="00577141">
      <w:pPr>
        <w:numPr>
          <w:ilvl w:val="0"/>
          <w:numId w:val="18"/>
        </w:numPr>
      </w:pPr>
      <w:r>
        <w:t>Bandwidth combinations:</w:t>
      </w:r>
    </w:p>
    <w:p w14:paraId="7D5D5408" w14:textId="77777777" w:rsidR="00577141" w:rsidRDefault="00577141" w:rsidP="00577141">
      <w:pPr>
        <w:numPr>
          <w:ilvl w:val="1"/>
          <w:numId w:val="18"/>
        </w:numPr>
      </w:pPr>
      <w:r>
        <w:lastRenderedPageBreak/>
        <w:t xml:space="preserve">Simulated: </w:t>
      </w:r>
    </w:p>
    <w:p w14:paraId="006DC559" w14:textId="77777777" w:rsidR="00740200" w:rsidRDefault="00577141" w:rsidP="00C454DC">
      <w:pPr>
        <w:numPr>
          <w:ilvl w:val="2"/>
          <w:numId w:val="18"/>
        </w:numPr>
      </w:pPr>
      <w:r>
        <w:t xml:space="preserve">NR+LTE: </w:t>
      </w:r>
      <w:r w:rsidR="00740200">
        <w:t xml:space="preserve">15+5, 10+10, 10+5, 5+15, 5+10, 5+5 MHz </w:t>
      </w:r>
    </w:p>
    <w:p w14:paraId="0E38A65A" w14:textId="77777777" w:rsidR="00577141" w:rsidRDefault="00740200" w:rsidP="00C454DC">
      <w:pPr>
        <w:numPr>
          <w:ilvl w:val="2"/>
          <w:numId w:val="18"/>
        </w:numPr>
      </w:pPr>
      <w:r>
        <w:t>LTE+NR: 15+5, 10+10, 10+5, 5+15, 5+10, 5+5</w:t>
      </w:r>
      <w:r w:rsidR="00577141">
        <w:t xml:space="preserve"> MHz</w:t>
      </w:r>
    </w:p>
    <w:p w14:paraId="2E5274F5" w14:textId="77777777" w:rsidR="00577141" w:rsidRPr="005E5E6B" w:rsidRDefault="00577141" w:rsidP="00577141">
      <w:pPr>
        <w:numPr>
          <w:ilvl w:val="1"/>
          <w:numId w:val="18"/>
        </w:numPr>
      </w:pPr>
      <w:r>
        <w:t xml:space="preserve">Measured: N15_L5_DFT-S-OFDM, [N15_L5_CP-OFDM, </w:t>
      </w:r>
      <w:r w:rsidR="00740200">
        <w:t>ongoing measurements at time of writing</w:t>
      </w:r>
      <w:r>
        <w:t>]</w:t>
      </w:r>
    </w:p>
    <w:p w14:paraId="2C5DAB11" w14:textId="77777777" w:rsidR="00E431B1" w:rsidRDefault="00E431B1" w:rsidP="00A35D50">
      <w:pPr>
        <w:spacing w:after="0"/>
        <w:ind w:left="1440"/>
        <w:rPr>
          <w:bCs/>
          <w:lang w:eastAsia="ja-JP"/>
        </w:rPr>
      </w:pPr>
    </w:p>
    <w:p w14:paraId="20787505" w14:textId="77777777" w:rsidR="00235640" w:rsidRDefault="00235640" w:rsidP="00235640">
      <w:pPr>
        <w:pStyle w:val="Heading2"/>
        <w:spacing w:after="240"/>
        <w:jc w:val="both"/>
        <w:rPr>
          <w:sz w:val="36"/>
          <w:lang w:val="en-US"/>
        </w:rPr>
      </w:pPr>
      <w:r>
        <w:rPr>
          <w:sz w:val="36"/>
          <w:lang w:val="en-US"/>
        </w:rPr>
        <w:t>Simulat</w:t>
      </w:r>
      <w:r w:rsidR="003C52D2">
        <w:rPr>
          <w:sz w:val="36"/>
          <w:lang w:val="en-US"/>
        </w:rPr>
        <w:t>ed</w:t>
      </w:r>
      <w:r>
        <w:rPr>
          <w:sz w:val="36"/>
          <w:lang w:val="en-US"/>
        </w:rPr>
        <w:t xml:space="preserve"> </w:t>
      </w:r>
      <w:r w:rsidR="001546DB">
        <w:rPr>
          <w:sz w:val="36"/>
          <w:lang w:val="en-US"/>
        </w:rPr>
        <w:t>Results</w:t>
      </w:r>
    </w:p>
    <w:p w14:paraId="482E07BC" w14:textId="5778CB5B" w:rsidR="00577141" w:rsidRDefault="00577141" w:rsidP="00830BAE">
      <w:pPr>
        <w:jc w:val="both"/>
      </w:pPr>
      <w:r>
        <w:t>P</w:t>
      </w:r>
      <w:r w:rsidRPr="00870C71">
        <w:rPr>
          <w:vertAlign w:val="subscript"/>
        </w:rPr>
        <w:t>LTE</w:t>
      </w:r>
      <w:r>
        <w:t xml:space="preserve"> is swept in 1 dB steps from 14 to 22 </w:t>
      </w:r>
      <w:proofErr w:type="spellStart"/>
      <w:r>
        <w:t>dBm</w:t>
      </w:r>
      <w:proofErr w:type="spellEnd"/>
      <w:r>
        <w:t>. As in [2], the case P</w:t>
      </w:r>
      <w:r w:rsidRPr="00870C71">
        <w:rPr>
          <w:vertAlign w:val="subscript"/>
        </w:rPr>
        <w:t>LTE</w:t>
      </w:r>
      <w:r>
        <w:t xml:space="preserve"> =23 </w:t>
      </w:r>
      <w:proofErr w:type="spellStart"/>
      <w:r>
        <w:t>dBm</w:t>
      </w:r>
      <w:proofErr w:type="spellEnd"/>
      <w:r>
        <w:t xml:space="preserve"> is not simulated since in this case no power sharing is possible with NR. For each P</w:t>
      </w:r>
      <w:r w:rsidRPr="00870C71">
        <w:rPr>
          <w:vertAlign w:val="subscript"/>
        </w:rPr>
        <w:t>LTE</w:t>
      </w:r>
      <w:r>
        <w:t xml:space="preserve"> power level, P</w:t>
      </w:r>
      <w:r>
        <w:rPr>
          <w:vertAlign w:val="subscript"/>
        </w:rPr>
        <w:t>NR</w:t>
      </w:r>
      <w:r>
        <w:t xml:space="preserve"> is swept until either EN-DC maximum power class level is reached or emissions / band protection limits are met. </w:t>
      </w:r>
      <w:r w:rsidR="003D22E0">
        <w:t>Since the objective is to compare simulated P</w:t>
      </w:r>
      <w:r w:rsidR="003D22E0">
        <w:rPr>
          <w:vertAlign w:val="subscript"/>
        </w:rPr>
        <w:t>NR</w:t>
      </w:r>
      <w:r w:rsidR="003D22E0">
        <w:t xml:space="preserve"> v</w:t>
      </w:r>
      <w:r w:rsidR="00DA7263">
        <w:t>ersu</w:t>
      </w:r>
      <w:r w:rsidR="003D22E0">
        <w:t>s measured P</w:t>
      </w:r>
      <w:r w:rsidR="003D22E0">
        <w:rPr>
          <w:vertAlign w:val="subscript"/>
        </w:rPr>
        <w:t>NR</w:t>
      </w:r>
      <w:r w:rsidR="003D22E0">
        <w:t xml:space="preserve"> A-MPR, only simulation data corresponding to the measured N15_L5 cell bandwidth (CBW) configuration are presented here. </w:t>
      </w:r>
      <w:r>
        <w:t>The obtained P</w:t>
      </w:r>
      <w:r>
        <w:rPr>
          <w:vertAlign w:val="subscript"/>
        </w:rPr>
        <w:t>NR</w:t>
      </w:r>
      <w:r w:rsidR="00364D17">
        <w:t xml:space="preserve"> levels versus P</w:t>
      </w:r>
      <w:r w:rsidR="00364D17" w:rsidRPr="00870C71">
        <w:rPr>
          <w:vertAlign w:val="subscript"/>
        </w:rPr>
        <w:t>LTE</w:t>
      </w:r>
      <w:r w:rsidR="00364D17">
        <w:rPr>
          <w:vertAlign w:val="subscript"/>
        </w:rPr>
        <w:t xml:space="preserve"> </w:t>
      </w:r>
      <w:r w:rsidR="00364D17">
        <w:t xml:space="preserve">with </w:t>
      </w:r>
      <w:r w:rsidR="003D22E0">
        <w:t>NR using CP-OFDM</w:t>
      </w:r>
      <w:r>
        <w:t xml:space="preserve"> </w:t>
      </w:r>
      <w:r w:rsidR="003D22E0">
        <w:t>and DFT-S-OFDM are presented in Figure 1</w:t>
      </w:r>
      <w:r>
        <w:t xml:space="preserve"> as a function of the total number of allocated resource block</w:t>
      </w:r>
      <w:r w:rsidR="00ED1CFE">
        <w:t>s</w:t>
      </w:r>
      <w:r>
        <w:t>, denoted here “</w:t>
      </w:r>
      <w:proofErr w:type="spellStart"/>
      <w:r w:rsidR="000E248E" w:rsidRPr="00FE7420">
        <w:rPr>
          <w:i/>
        </w:rPr>
        <w:t>RB</w:t>
      </w:r>
      <w:r w:rsidR="000E248E" w:rsidRPr="00FE7420">
        <w:rPr>
          <w:i/>
          <w:vertAlign w:val="subscript"/>
        </w:rPr>
        <w:t>tot</w:t>
      </w:r>
      <w:proofErr w:type="spellEnd"/>
      <w:r>
        <w:t>”:</w:t>
      </w:r>
    </w:p>
    <w:bookmarkStart w:id="2" w:name="_MON_1611516661"/>
    <w:bookmarkEnd w:id="2"/>
    <w:p w14:paraId="28EBA15C" w14:textId="77777777" w:rsidR="00577141" w:rsidRDefault="00577141" w:rsidP="00577141">
      <w:pPr>
        <w:jc w:val="center"/>
      </w:pPr>
      <w:r>
        <w:object w:dxaOrig="9639" w:dyaOrig="456" w14:anchorId="139E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2.45pt" o:ole="">
            <v:imagedata r:id="rId9" o:title=""/>
          </v:shape>
          <o:OLEObject Type="Embed" ProgID="Word.Document.12" ShapeID="_x0000_i1025" DrawAspect="Content" ObjectID="_1611756231" r:id="rId10">
            <o:FieldCodes>\s</o:FieldCodes>
          </o:OLEObject>
        </w:object>
      </w:r>
    </w:p>
    <w:p w14:paraId="729A1159" w14:textId="1AF85083" w:rsidR="00577141" w:rsidRDefault="00577141" w:rsidP="00577141"/>
    <w:p w14:paraId="1B9875C0" w14:textId="705598B6" w:rsidR="00577141" w:rsidRDefault="00251E10" w:rsidP="00577141">
      <w:pPr>
        <w:jc w:val="right"/>
      </w:pPr>
      <w:r w:rsidRPr="00251E10">
        <w:rPr>
          <w:noProof/>
        </w:rPr>
        <w:drawing>
          <wp:inline distT="0" distB="0" distL="0" distR="0" wp14:anchorId="4067617F" wp14:editId="4E9636AE">
            <wp:extent cx="3056400" cy="22032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6400" cy="2203200"/>
                    </a:xfrm>
                    <a:prstGeom prst="rect">
                      <a:avLst/>
                    </a:prstGeom>
                    <a:noFill/>
                    <a:ln>
                      <a:noFill/>
                    </a:ln>
                  </pic:spPr>
                </pic:pic>
              </a:graphicData>
            </a:graphic>
          </wp:inline>
        </w:drawing>
      </w:r>
      <w:r w:rsidR="00A35D50" w:rsidRPr="00A35D50">
        <w:rPr>
          <w:noProof/>
        </w:rPr>
        <w:drawing>
          <wp:inline distT="0" distB="0" distL="0" distR="0" wp14:anchorId="7E201330" wp14:editId="27650A57">
            <wp:extent cx="3024000" cy="2203200"/>
            <wp:effectExtent l="0" t="0" r="508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4000" cy="2203200"/>
                    </a:xfrm>
                    <a:prstGeom prst="rect">
                      <a:avLst/>
                    </a:prstGeom>
                    <a:noFill/>
                    <a:ln>
                      <a:noFill/>
                    </a:ln>
                  </pic:spPr>
                </pic:pic>
              </a:graphicData>
            </a:graphic>
          </wp:inline>
        </w:drawing>
      </w:r>
    </w:p>
    <w:p w14:paraId="42EA0850" w14:textId="2D236E03" w:rsidR="00577141" w:rsidRDefault="00577141" w:rsidP="00577141">
      <w:r>
        <w:t xml:space="preserve">Figure </w:t>
      </w:r>
      <w:r w:rsidR="001F6654">
        <w:rPr>
          <w:noProof/>
        </w:rPr>
        <w:fldChar w:fldCharType="begin"/>
      </w:r>
      <w:r w:rsidR="001F6654">
        <w:rPr>
          <w:noProof/>
        </w:rPr>
        <w:instrText xml:space="preserve"> SEQ Figure \* ARABIC </w:instrText>
      </w:r>
      <w:r w:rsidR="001F6654">
        <w:rPr>
          <w:noProof/>
        </w:rPr>
        <w:fldChar w:fldCharType="separate"/>
      </w:r>
      <w:r>
        <w:rPr>
          <w:noProof/>
        </w:rPr>
        <w:t>1</w:t>
      </w:r>
      <w:r w:rsidR="001F6654">
        <w:rPr>
          <w:noProof/>
        </w:rPr>
        <w:fldChar w:fldCharType="end"/>
      </w:r>
      <w:r>
        <w:t xml:space="preserve">: NR A-MPR as function of DC total number of allocated RBs </w:t>
      </w:r>
      <w:r w:rsidR="00D92783">
        <w:t>(</w:t>
      </w:r>
      <w:proofErr w:type="spellStart"/>
      <w:r w:rsidR="00D92783" w:rsidRPr="00FE7420">
        <w:rPr>
          <w:i/>
        </w:rPr>
        <w:t>RB</w:t>
      </w:r>
      <w:r w:rsidR="00D92783" w:rsidRPr="00FE7420">
        <w:rPr>
          <w:i/>
          <w:vertAlign w:val="subscript"/>
        </w:rPr>
        <w:t>tot</w:t>
      </w:r>
      <w:proofErr w:type="spellEnd"/>
      <w:r w:rsidR="00D92783" w:rsidRPr="00D92783">
        <w:rPr>
          <w:i/>
        </w:rPr>
        <w:t>)</w:t>
      </w:r>
      <w:r>
        <w:t xml:space="preserve"> for NR 15 MHz channel below LTE 5 MHz.</w:t>
      </w:r>
      <w:r w:rsidR="00BD72A2">
        <w:t xml:space="preserve"> NR configured with QPSK</w:t>
      </w:r>
      <w:r>
        <w:t xml:space="preserve"> </w:t>
      </w:r>
      <w:r w:rsidR="00251E10">
        <w:t>CP-</w:t>
      </w:r>
      <w:r w:rsidR="00BD72A2">
        <w:t>OFDM (left) and</w:t>
      </w:r>
      <w:r>
        <w:t xml:space="preserve"> DFT-S-OFDM (right).</w:t>
      </w:r>
    </w:p>
    <w:p w14:paraId="274DBC6E" w14:textId="77777777" w:rsidR="00C40262" w:rsidRDefault="00C40262" w:rsidP="00C40262">
      <w:pPr>
        <w:pStyle w:val="Heading2"/>
        <w:spacing w:after="240"/>
        <w:jc w:val="both"/>
        <w:rPr>
          <w:sz w:val="36"/>
          <w:lang w:val="en-US"/>
        </w:rPr>
      </w:pPr>
      <w:r>
        <w:rPr>
          <w:sz w:val="36"/>
          <w:lang w:val="en-US"/>
        </w:rPr>
        <w:t>Measurement Results</w:t>
      </w:r>
    </w:p>
    <w:p w14:paraId="6C4299DB" w14:textId="5F2B359C" w:rsidR="00740200" w:rsidRDefault="00C40262" w:rsidP="00830BAE">
      <w:pPr>
        <w:jc w:val="both"/>
      </w:pPr>
      <w:r>
        <w:t>At the time of writing</w:t>
      </w:r>
      <w:r w:rsidR="007C3921">
        <w:t xml:space="preserve">, and due to time </w:t>
      </w:r>
      <w:r w:rsidR="00740200">
        <w:t>constraints</w:t>
      </w:r>
      <w:r w:rsidR="007C3921">
        <w:t xml:space="preserve">, </w:t>
      </w:r>
      <w:r w:rsidR="00740200">
        <w:t xml:space="preserve">the presented </w:t>
      </w:r>
      <w:r w:rsidR="007C3921">
        <w:t xml:space="preserve">measurement campaign </w:t>
      </w:r>
      <w:r w:rsidR="00740200">
        <w:t>has been restricted to</w:t>
      </w:r>
      <w:r w:rsidR="00ED1CFE">
        <w:t xml:space="preserve"> 20</w:t>
      </w:r>
      <w:r w:rsidR="007C3921">
        <w:t>000 measurements points collected for the QPSK DFT-S-OFDM N15_L5 configuration</w:t>
      </w:r>
      <w:r w:rsidR="00740200">
        <w:t xml:space="preserve"> only</w:t>
      </w:r>
      <w:r w:rsidR="007C3921">
        <w:t xml:space="preserve">. Since the goal is to calibrate simulation model accuracy, measurements </w:t>
      </w:r>
      <w:r w:rsidR="00740200">
        <w:t>are</w:t>
      </w:r>
      <w:r w:rsidR="007C3921">
        <w:t xml:space="preserve"> performed on a reduced set of </w:t>
      </w:r>
      <w:r w:rsidR="000E248E" w:rsidRPr="00FE7420">
        <w:rPr>
          <w:i/>
        </w:rPr>
        <w:t>RB</w:t>
      </w:r>
      <w:r w:rsidR="000E248E" w:rsidRPr="00FE7420">
        <w:rPr>
          <w:i/>
          <w:vertAlign w:val="subscript"/>
        </w:rPr>
        <w:t>tot</w:t>
      </w:r>
      <w:r w:rsidR="007C3921">
        <w:t xml:space="preserve"> samples.</w:t>
      </w:r>
      <w:r>
        <w:t xml:space="preserve"> Simulation results are used to identify </w:t>
      </w:r>
      <w:r w:rsidR="007C3921">
        <w:t xml:space="preserve">the worst case </w:t>
      </w:r>
      <w:r>
        <w:t>corner RB allocations for each RAT</w:t>
      </w:r>
      <w:r w:rsidR="00740200">
        <w:t>. Worst case</w:t>
      </w:r>
      <w:r w:rsidR="007C3921">
        <w:t xml:space="preserve"> RB allocations </w:t>
      </w:r>
      <w:r w:rsidR="00740200">
        <w:t>are identified by searching for the</w:t>
      </w:r>
      <w:r w:rsidR="007C3921">
        <w:t xml:space="preserve"> minimum </w:t>
      </w:r>
      <w:r w:rsidR="00740200">
        <w:t xml:space="preserve">power level </w:t>
      </w:r>
      <w:r w:rsidR="007C3921">
        <w:t>of P</w:t>
      </w:r>
      <w:r w:rsidR="007C3921" w:rsidRPr="007C3921">
        <w:rPr>
          <w:vertAlign w:val="subscript"/>
        </w:rPr>
        <w:t>NR</w:t>
      </w:r>
      <w:r w:rsidR="007C3921">
        <w:rPr>
          <w:vertAlign w:val="subscript"/>
        </w:rPr>
        <w:t>_max</w:t>
      </w:r>
      <w:r w:rsidR="007C3921">
        <w:t xml:space="preserve"> transmission power that guarantees passing all emissions and band protection requirements. The measurement</w:t>
      </w:r>
      <w:r w:rsidR="00740200">
        <w:t xml:space="preserve"> campaign follows the same method</w:t>
      </w:r>
      <w:r w:rsidR="007C3921">
        <w:t xml:space="preserve"> as</w:t>
      </w:r>
      <w:r w:rsidR="00740200">
        <w:t xml:space="preserve"> that used in</w:t>
      </w:r>
      <w:r w:rsidR="007C3921">
        <w:t xml:space="preserve"> simulation campaign: for each P</w:t>
      </w:r>
      <w:r w:rsidR="007C3921" w:rsidRPr="007C3921">
        <w:rPr>
          <w:vertAlign w:val="subscript"/>
        </w:rPr>
        <w:t>LTE</w:t>
      </w:r>
      <w:r w:rsidR="007C3921">
        <w:rPr>
          <w:vertAlign w:val="subscript"/>
        </w:rPr>
        <w:t xml:space="preserve"> </w:t>
      </w:r>
      <w:r w:rsidR="007C3921" w:rsidRPr="007C3921">
        <w:t>level</w:t>
      </w:r>
      <w:r w:rsidR="007C3921">
        <w:t xml:space="preserve">, </w:t>
      </w:r>
      <w:r w:rsidR="00ED1CFE">
        <w:t>P</w:t>
      </w:r>
      <w:r w:rsidR="00ED1CFE">
        <w:rPr>
          <w:vertAlign w:val="subscript"/>
        </w:rPr>
        <w:t>NR</w:t>
      </w:r>
      <w:r w:rsidR="00ED1CFE">
        <w:t xml:space="preserve"> is swept until either EN-DC maximum power class level is reached or emissions / band protection limits are met</w:t>
      </w:r>
      <w:r w:rsidR="007C3921">
        <w:t>.</w:t>
      </w:r>
      <w:r>
        <w:t xml:space="preserve"> </w:t>
      </w:r>
      <w:r w:rsidR="007C3921">
        <w:t>M</w:t>
      </w:r>
      <w:r>
        <w:t xml:space="preserve">easurements are repeated at the following corner </w:t>
      </w:r>
      <w:r w:rsidR="000E248E" w:rsidRPr="00FE7420">
        <w:rPr>
          <w:i/>
        </w:rPr>
        <w:t>RB</w:t>
      </w:r>
      <w:r w:rsidR="000E248E" w:rsidRPr="00FE7420">
        <w:rPr>
          <w:i/>
          <w:vertAlign w:val="subscript"/>
        </w:rPr>
        <w:t>tot</w:t>
      </w:r>
      <w:r>
        <w:rPr>
          <w:vertAlign w:val="subscript"/>
        </w:rPr>
        <w:t xml:space="preserve"> </w:t>
      </w:r>
      <w:r>
        <w:t xml:space="preserve">values: </w:t>
      </w:r>
      <w:r w:rsidR="0028187C">
        <w:t>[</w:t>
      </w:r>
      <w:r>
        <w:t>2</w:t>
      </w:r>
      <w:r w:rsidR="0028187C">
        <w:t>]</w:t>
      </w:r>
      <w:r>
        <w:t>,</w:t>
      </w:r>
      <w:r w:rsidR="0028187C">
        <w:t>[5],</w:t>
      </w:r>
      <w:r>
        <w:t>10,20,</w:t>
      </w:r>
      <w:r w:rsidR="0028187C">
        <w:t>30,40,[50],100.</w:t>
      </w:r>
      <w:r w:rsidR="00EB2992">
        <w:t xml:space="preserve"> </w:t>
      </w:r>
      <w:r w:rsidR="00740200">
        <w:t>Values in brackets are</w:t>
      </w:r>
      <w:r w:rsidR="007C3921">
        <w:t xml:space="preserve"> currently being </w:t>
      </w:r>
      <w:r w:rsidR="000E248E">
        <w:t xml:space="preserve">measured </w:t>
      </w:r>
      <w:r w:rsidR="007C3921">
        <w:t>and might be</w:t>
      </w:r>
      <w:r w:rsidR="000E248E">
        <w:t xml:space="preserve">come </w:t>
      </w:r>
      <w:r w:rsidR="007C3921">
        <w:t>available at the time of presentation.</w:t>
      </w:r>
      <w:r w:rsidR="000E248E">
        <w:t xml:space="preserve"> We also intend to present measurement data for QPSK CP-OFDM N15_L5 configuration.</w:t>
      </w:r>
    </w:p>
    <w:p w14:paraId="521554DA" w14:textId="5B97FC18" w:rsidR="00EB2992" w:rsidRDefault="00EB2992" w:rsidP="00830BAE">
      <w:pPr>
        <w:jc w:val="both"/>
      </w:pPr>
      <w:r>
        <w:t>Measured NR A</w:t>
      </w:r>
      <w:r w:rsidR="00740200">
        <w:t>-</w:t>
      </w:r>
      <w:r>
        <w:t xml:space="preserve">MPR values are </w:t>
      </w:r>
      <w:r w:rsidR="004A5643">
        <w:t>plotted with plain dots</w:t>
      </w:r>
      <w:r>
        <w:t xml:space="preserve"> against simulation data</w:t>
      </w:r>
      <w:r w:rsidR="004A5643">
        <w:t xml:space="preserve"> (plain lines)</w:t>
      </w:r>
      <w:r>
        <w:t xml:space="preserve"> in </w:t>
      </w:r>
      <w:r w:rsidR="000E248E">
        <w:fldChar w:fldCharType="begin"/>
      </w:r>
      <w:r w:rsidR="000E248E">
        <w:instrText xml:space="preserve"> REF _Ref1117340 \h </w:instrText>
      </w:r>
      <w:r w:rsidR="000E248E">
        <w:fldChar w:fldCharType="separate"/>
      </w:r>
      <w:r w:rsidR="000E248E">
        <w:t xml:space="preserve">Figure </w:t>
      </w:r>
      <w:r w:rsidR="000E248E">
        <w:rPr>
          <w:noProof/>
        </w:rPr>
        <w:t>2</w:t>
      </w:r>
      <w:r w:rsidR="000E248E">
        <w:fldChar w:fldCharType="end"/>
      </w:r>
      <w:r w:rsidR="000E248E">
        <w:t xml:space="preserve"> </w:t>
      </w:r>
      <w:r>
        <w:t>-left.</w:t>
      </w:r>
      <w:r w:rsidR="00512E5E">
        <w:t xml:space="preserve"> The curves present the maximum required NR </w:t>
      </w:r>
      <w:r w:rsidR="001A53F3">
        <w:t xml:space="preserve">A-MPR </w:t>
      </w:r>
      <w:r w:rsidR="00512E5E">
        <w:t xml:space="preserve">among allocations with </w:t>
      </w:r>
      <w:r w:rsidR="00A3138E">
        <w:t xml:space="preserve">given </w:t>
      </w:r>
      <w:r w:rsidR="00512E5E">
        <w:t xml:space="preserve">value of </w:t>
      </w:r>
      <w:r w:rsidR="00512E5E" w:rsidRPr="00830BAE">
        <w:rPr>
          <w:i/>
        </w:rPr>
        <w:t>RB</w:t>
      </w:r>
      <w:r w:rsidR="00512E5E" w:rsidRPr="00830BAE">
        <w:rPr>
          <w:i/>
          <w:vertAlign w:val="subscript"/>
        </w:rPr>
        <w:t>tot</w:t>
      </w:r>
      <w:r w:rsidR="00512E5E">
        <w:t>.</w:t>
      </w:r>
      <w:r>
        <w:t xml:space="preserve"> Simulated values indicate a slightly lower NR A</w:t>
      </w:r>
      <w:r w:rsidR="009262DD">
        <w:t>-</w:t>
      </w:r>
      <w:r>
        <w:t xml:space="preserve">MPR value than those obtained by measurements. In </w:t>
      </w:r>
      <w:r w:rsidR="000E248E">
        <w:fldChar w:fldCharType="begin"/>
      </w:r>
      <w:r w:rsidR="000E248E">
        <w:instrText xml:space="preserve"> REF _Ref1117340 \h </w:instrText>
      </w:r>
      <w:r w:rsidR="000E248E">
        <w:fldChar w:fldCharType="separate"/>
      </w:r>
      <w:r w:rsidR="000E248E">
        <w:t xml:space="preserve">Figure </w:t>
      </w:r>
      <w:r w:rsidR="000E248E">
        <w:rPr>
          <w:noProof/>
        </w:rPr>
        <w:t>2</w:t>
      </w:r>
      <w:r w:rsidR="000E248E">
        <w:fldChar w:fldCharType="end"/>
      </w:r>
      <w:r w:rsidR="000E248E">
        <w:t xml:space="preserve"> </w:t>
      </w:r>
      <w:r>
        <w:t>-</w:t>
      </w:r>
      <w:r w:rsidR="000E248E">
        <w:t xml:space="preserve"> </w:t>
      </w:r>
      <w:r>
        <w:t>right,</w:t>
      </w:r>
      <w:r w:rsidR="009262DD">
        <w:t xml:space="preserve"> a 1.2 dB offset has been applied</w:t>
      </w:r>
      <w:r w:rsidR="000E248E">
        <w:t xml:space="preserve"> to the simulated data</w:t>
      </w:r>
      <w:r w:rsidR="009262DD">
        <w:t xml:space="preserve"> to allow comparison of </w:t>
      </w:r>
      <w:r>
        <w:t>simulated</w:t>
      </w:r>
      <w:r w:rsidR="009262DD">
        <w:t xml:space="preserve"> vs. measured</w:t>
      </w:r>
      <w:r>
        <w:t xml:space="preserve"> NR A</w:t>
      </w:r>
      <w:r w:rsidR="009262DD">
        <w:t>-</w:t>
      </w:r>
      <w:r>
        <w:t>MPR values</w:t>
      </w:r>
      <w:r w:rsidR="009262DD">
        <w:t xml:space="preserve">. Measured NR A-MPR values are in reasonable agreement with simulation at the </w:t>
      </w:r>
      <w:r w:rsidR="000E248E" w:rsidRPr="00FE7420">
        <w:rPr>
          <w:i/>
        </w:rPr>
        <w:t>RB</w:t>
      </w:r>
      <w:r w:rsidR="000E248E" w:rsidRPr="00FE7420">
        <w:rPr>
          <w:i/>
          <w:vertAlign w:val="subscript"/>
        </w:rPr>
        <w:t>tot</w:t>
      </w:r>
      <w:r w:rsidR="009262DD">
        <w:t xml:space="preserve"> values &gt;= 10.</w:t>
      </w:r>
      <w:r w:rsidR="00AC2B39">
        <w:t xml:space="preserve"> </w:t>
      </w:r>
    </w:p>
    <w:p w14:paraId="1765176C" w14:textId="77777777" w:rsidR="00EB2992" w:rsidRDefault="008D6540" w:rsidP="00C40262">
      <w:r w:rsidRPr="008D6540">
        <w:rPr>
          <w:noProof/>
        </w:rPr>
        <w:lastRenderedPageBreak/>
        <w:drawing>
          <wp:inline distT="0" distB="0" distL="0" distR="0" wp14:anchorId="54220FE0" wp14:editId="39C7DE24">
            <wp:extent cx="2818800" cy="2052000"/>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8800" cy="2052000"/>
                    </a:xfrm>
                    <a:prstGeom prst="rect">
                      <a:avLst/>
                    </a:prstGeom>
                    <a:noFill/>
                    <a:ln>
                      <a:noFill/>
                    </a:ln>
                  </pic:spPr>
                </pic:pic>
              </a:graphicData>
            </a:graphic>
          </wp:inline>
        </w:drawing>
      </w:r>
      <w:r w:rsidRPr="008D6540">
        <w:t xml:space="preserve"> </w:t>
      </w:r>
      <w:r w:rsidR="003D22E0" w:rsidRPr="003D22E0">
        <w:rPr>
          <w:noProof/>
        </w:rPr>
        <w:drawing>
          <wp:inline distT="0" distB="0" distL="0" distR="0" wp14:anchorId="43A1D5C8" wp14:editId="3293372B">
            <wp:extent cx="2815200" cy="2052000"/>
            <wp:effectExtent l="0" t="0" r="444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5200" cy="2052000"/>
                    </a:xfrm>
                    <a:prstGeom prst="rect">
                      <a:avLst/>
                    </a:prstGeom>
                    <a:noFill/>
                    <a:ln>
                      <a:noFill/>
                    </a:ln>
                  </pic:spPr>
                </pic:pic>
              </a:graphicData>
            </a:graphic>
          </wp:inline>
        </w:drawing>
      </w:r>
    </w:p>
    <w:p w14:paraId="1C40571D" w14:textId="66848BBE" w:rsidR="00060226" w:rsidRDefault="00060226" w:rsidP="00060226">
      <w:bookmarkStart w:id="3" w:name="_Ref1117340"/>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C5768B">
        <w:rPr>
          <w:noProof/>
        </w:rPr>
        <w:t>2</w:t>
      </w:r>
      <w:r w:rsidR="001F6654">
        <w:rPr>
          <w:noProof/>
        </w:rPr>
        <w:fldChar w:fldCharType="end"/>
      </w:r>
      <w:bookmarkEnd w:id="3"/>
      <w:r>
        <w:t xml:space="preserve">: </w:t>
      </w:r>
      <w:r w:rsidR="000E248E">
        <w:t>Simulated (plain lines)</w:t>
      </w:r>
      <w:r>
        <w:t xml:space="preserve"> </w:t>
      </w:r>
      <w:r w:rsidR="000E248E">
        <w:t xml:space="preserve">vs measured (plain dots) NR A-MPR </w:t>
      </w:r>
      <w:r>
        <w:t xml:space="preserve">as function of </w:t>
      </w:r>
      <w:r w:rsidR="000E248E" w:rsidRPr="00FE7420">
        <w:rPr>
          <w:i/>
        </w:rPr>
        <w:t>RB</w:t>
      </w:r>
      <w:r w:rsidR="000E248E" w:rsidRPr="00FE7420">
        <w:rPr>
          <w:i/>
          <w:vertAlign w:val="subscript"/>
        </w:rPr>
        <w:t>tot</w:t>
      </w:r>
      <w:r>
        <w:t xml:space="preserve"> for NR15_L5, NR configured with QPSK DFT-S-OFDM. Left: raw comparison with simulated data. Right: comparison against simulated data with 1.2 dB correction factor.</w:t>
      </w:r>
    </w:p>
    <w:p w14:paraId="6B5AB4F2" w14:textId="7835DB52" w:rsidR="003822CC" w:rsidRDefault="00A076E9" w:rsidP="00830BAE">
      <w:pPr>
        <w:jc w:val="both"/>
      </w:pPr>
      <w:r>
        <w:t xml:space="preserve">In </w:t>
      </w:r>
      <w:r w:rsidR="004A5643">
        <w:fldChar w:fldCharType="begin"/>
      </w:r>
      <w:r w:rsidR="004A5643">
        <w:instrText xml:space="preserve"> REF _Ref1117532 \h </w:instrText>
      </w:r>
      <w:r w:rsidR="004A5643">
        <w:fldChar w:fldCharType="separate"/>
      </w:r>
      <w:r w:rsidR="004A5643">
        <w:t xml:space="preserve">Figure </w:t>
      </w:r>
      <w:r w:rsidR="004A5643">
        <w:rPr>
          <w:noProof/>
        </w:rPr>
        <w:t>3</w:t>
      </w:r>
      <w:r w:rsidR="004A5643">
        <w:fldChar w:fldCharType="end"/>
      </w:r>
      <w:r w:rsidR="00DA7263">
        <w:t>,</w:t>
      </w:r>
      <w:r>
        <w:t xml:space="preserve"> we compare</w:t>
      </w:r>
      <w:r w:rsidR="003822CC">
        <w:t xml:space="preserve"> </w:t>
      </w:r>
      <w:r w:rsidR="009262DD">
        <w:t xml:space="preserve">measured </w:t>
      </w:r>
      <w:r>
        <w:t>P</w:t>
      </w:r>
      <w:r w:rsidRPr="00AC2B39">
        <w:rPr>
          <w:vertAlign w:val="subscript"/>
        </w:rPr>
        <w:t>NR</w:t>
      </w:r>
      <w:r w:rsidR="009262DD">
        <w:rPr>
          <w:vertAlign w:val="subscript"/>
        </w:rPr>
        <w:t xml:space="preserve"> </w:t>
      </w:r>
      <w:r w:rsidR="009262DD">
        <w:t>levels (blue line) against s</w:t>
      </w:r>
      <w:r w:rsidR="003822CC">
        <w:t xml:space="preserve">imulated </w:t>
      </w:r>
      <w:r w:rsidR="00AC2B39">
        <w:t xml:space="preserve">values </w:t>
      </w:r>
      <w:r w:rsidR="004A5643">
        <w:t xml:space="preserve">(orange line) </w:t>
      </w:r>
      <w:r w:rsidR="00AC2B39">
        <w:t>for which a</w:t>
      </w:r>
      <w:r>
        <w:t xml:space="preserve"> 1.2 dB correction factor </w:t>
      </w:r>
      <w:r w:rsidR="00AC2B39">
        <w:t xml:space="preserve">has been </w:t>
      </w:r>
      <w:r>
        <w:t xml:space="preserve">applied </w:t>
      </w:r>
      <w:r w:rsidR="003822CC">
        <w:t>vs P</w:t>
      </w:r>
      <w:r w:rsidR="003822CC" w:rsidRPr="00AC2B39">
        <w:rPr>
          <w:vertAlign w:val="subscript"/>
        </w:rPr>
        <w:t>NR</w:t>
      </w:r>
      <w:r w:rsidR="003822CC">
        <w:t xml:space="preserve"> power levels according to A-MPR rules </w:t>
      </w:r>
      <w:r w:rsidR="004A5643">
        <w:t>in [3]</w:t>
      </w:r>
      <w:r w:rsidR="003822CC">
        <w:t xml:space="preserve"> (black dotted line) </w:t>
      </w:r>
      <w:r w:rsidR="004A5643">
        <w:t>v</w:t>
      </w:r>
      <w:r w:rsidR="00DA7263">
        <w:t>ersus</w:t>
      </w:r>
      <w:r w:rsidR="004A5643">
        <w:t xml:space="preserve"> A-MPR rules approved in</w:t>
      </w:r>
      <w:r w:rsidR="003822CC">
        <w:t xml:space="preserve"> </w:t>
      </w:r>
      <w:r w:rsidR="004A5643">
        <w:t>[1]</w:t>
      </w:r>
      <w:r w:rsidR="003822CC">
        <w:t xml:space="preserve"> (grey line) at </w:t>
      </w:r>
      <w:r w:rsidR="00815B55" w:rsidRPr="00FE7420">
        <w:rPr>
          <w:i/>
        </w:rPr>
        <w:t>RB</w:t>
      </w:r>
      <w:r w:rsidR="00815B55" w:rsidRPr="00FE7420">
        <w:rPr>
          <w:i/>
          <w:vertAlign w:val="subscript"/>
        </w:rPr>
        <w:t>tot</w:t>
      </w:r>
      <w:r w:rsidR="00815B55">
        <w:rPr>
          <w:vertAlign w:val="subscript"/>
        </w:rPr>
        <w:t xml:space="preserve"> </w:t>
      </w:r>
      <w:r w:rsidR="003822CC">
        <w:t>=100, 30, and 20 in A,</w:t>
      </w:r>
      <w:r w:rsidR="00AC2B39">
        <w:t xml:space="preserve"> </w:t>
      </w:r>
      <w:r w:rsidR="003822CC">
        <w:t>B,</w:t>
      </w:r>
      <w:r w:rsidR="00AC2B39">
        <w:t xml:space="preserve"> </w:t>
      </w:r>
      <w:r w:rsidR="003822CC">
        <w:t>C respectively. The measured power spectral density difference between MCG and PCG at the measured NR A</w:t>
      </w:r>
      <w:r w:rsidR="009262DD">
        <w:t>-</w:t>
      </w:r>
      <w:r w:rsidR="003822CC">
        <w:t>MPR is overlaid on secondary y axis in red line.</w:t>
      </w:r>
      <w:r w:rsidR="00EB728F">
        <w:t xml:space="preserve"> Xscale has been omitted for sake of simplicity.</w:t>
      </w:r>
      <w:r w:rsidR="000B7DC7">
        <w:t xml:space="preserve"> </w:t>
      </w:r>
      <w:r w:rsidR="00AC2B39">
        <w:t>On each of these graphs, the measured PSD difference exhibit a wide range of values vs P</w:t>
      </w:r>
      <w:r w:rsidR="00AC2B39" w:rsidRPr="00AC2B39">
        <w:rPr>
          <w:vertAlign w:val="subscript"/>
        </w:rPr>
        <w:t>LTE</w:t>
      </w:r>
      <w:r w:rsidR="00B65A97">
        <w:t>.</w:t>
      </w:r>
      <w:r w:rsidR="001D5D03">
        <w:t xml:space="preserve"> The PSD discontinuities in Figure 3</w:t>
      </w:r>
      <w:r w:rsidR="00DA7263">
        <w:t>,</w:t>
      </w:r>
      <w:r w:rsidR="001D5D03">
        <w:t xml:space="preserve"> B and C result from the fact that the worst case RB allocations extracted from simulated data differ</w:t>
      </w:r>
      <w:r w:rsidR="004A5643">
        <w:t>s</w:t>
      </w:r>
      <w:r w:rsidR="001D5D03">
        <w:t xml:space="preserve"> from one P</w:t>
      </w:r>
      <w:r w:rsidR="001D5D03" w:rsidRPr="00830BAE">
        <w:rPr>
          <w:vertAlign w:val="subscript"/>
        </w:rPr>
        <w:t>LTE</w:t>
      </w:r>
      <w:r w:rsidR="001D5D03">
        <w:t xml:space="preserve"> level to another. This is not the case in </w:t>
      </w:r>
      <w:r w:rsidR="004A5643">
        <w:t>Figure 3-A for which a unique</w:t>
      </w:r>
      <w:r w:rsidR="001D5D03">
        <w:t xml:space="preserve"> RB allocation set meet</w:t>
      </w:r>
      <w:r w:rsidR="004A5643">
        <w:t>s</w:t>
      </w:r>
      <w:r w:rsidR="001D5D03">
        <w:t xml:space="preserve"> RB</w:t>
      </w:r>
      <w:r w:rsidR="001D5D03" w:rsidRPr="00830BAE">
        <w:rPr>
          <w:vertAlign w:val="subscript"/>
        </w:rPr>
        <w:t>tot</w:t>
      </w:r>
      <w:r w:rsidR="001D5D03">
        <w:t>=100, ie, the same waveform is used across all power sweeps of P</w:t>
      </w:r>
      <w:r w:rsidR="001D5D03" w:rsidRPr="00830BAE">
        <w:rPr>
          <w:vertAlign w:val="subscript"/>
        </w:rPr>
        <w:t>LTE</w:t>
      </w:r>
      <w:r w:rsidR="001D5D03">
        <w:t xml:space="preserve"> and P</w:t>
      </w:r>
      <w:r w:rsidR="001D5D03" w:rsidRPr="00830BAE">
        <w:rPr>
          <w:vertAlign w:val="subscript"/>
        </w:rPr>
        <w:t>NR</w:t>
      </w:r>
      <w:r w:rsidR="001D5D03">
        <w:t>.</w:t>
      </w:r>
    </w:p>
    <w:p w14:paraId="11DC97B6" w14:textId="77777777" w:rsidR="003822CC" w:rsidRDefault="00A076E9" w:rsidP="00060226">
      <w:r>
        <w:rPr>
          <w:noProof/>
        </w:rPr>
        <mc:AlternateContent>
          <mc:Choice Requires="wps">
            <w:drawing>
              <wp:anchor distT="0" distB="0" distL="114300" distR="114300" simplePos="0" relativeHeight="251672576" behindDoc="0" locked="0" layoutInCell="1" allowOverlap="1" wp14:anchorId="54B83A78" wp14:editId="3AA8033B">
                <wp:simplePos x="0" y="0"/>
                <wp:positionH relativeFrom="column">
                  <wp:posOffset>368506</wp:posOffset>
                </wp:positionH>
                <wp:positionV relativeFrom="paragraph">
                  <wp:posOffset>97790</wp:posOffset>
                </wp:positionV>
                <wp:extent cx="258051" cy="263661"/>
                <wp:effectExtent l="0" t="0" r="27940" b="22225"/>
                <wp:wrapNone/>
                <wp:docPr id="27" name="Text Box 27"/>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3785E5C7" w14:textId="77777777" w:rsidR="003822CC" w:rsidRPr="003822CC" w:rsidRDefault="003822CC" w:rsidP="003822CC">
                            <w:pPr>
                              <w:jc w:val="center"/>
                              <w:rPr>
                                <w:sz w:val="18"/>
                              </w:rPr>
                            </w:pPr>
                            <w:r w:rsidRPr="003822CC">
                              <w:rPr>
                                <w:sz w:val="18"/>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4B83A78" id="Text Box 27" o:spid="_x0000_s1027" type="#_x0000_t202" style="position:absolute;margin-left:29pt;margin-top:7.7pt;width:20.3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" fillcolor="white [3201]" strokeweight=".5pt">
                <v:textbox>
                  <w:txbxContent>
                    <w:p w14:paraId="3785E5C7" w14:textId="77777777" w:rsidR="003822CC" w:rsidRPr="003822CC" w:rsidRDefault="003822CC" w:rsidP="003822CC">
                      <w:pPr>
                        <w:jc w:val="center"/>
                        <w:rPr>
                          <w:sz w:val="18"/>
                        </w:rPr>
                      </w:pPr>
                      <w:r w:rsidRPr="003822CC">
                        <w:rPr>
                          <w:sz w:val="18"/>
                        </w:rPr>
                        <w:t>A</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A90CF04" wp14:editId="0062AB77">
                <wp:simplePos x="0" y="0"/>
                <wp:positionH relativeFrom="column">
                  <wp:posOffset>2319453</wp:posOffset>
                </wp:positionH>
                <wp:positionV relativeFrom="paragraph">
                  <wp:posOffset>87416</wp:posOffset>
                </wp:positionV>
                <wp:extent cx="258051" cy="263661"/>
                <wp:effectExtent l="0" t="0" r="27940" b="22225"/>
                <wp:wrapNone/>
                <wp:docPr id="28" name="Text Box 28"/>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1CED2BC9" w14:textId="77777777" w:rsidR="00EB728F" w:rsidRPr="003822CC" w:rsidRDefault="00EB728F" w:rsidP="00EB728F">
                            <w:pPr>
                              <w:jc w:val="center"/>
                              <w:rPr>
                                <w:sz w:val="18"/>
                              </w:rPr>
                            </w:pPr>
                            <w:r>
                              <w:rPr>
                                <w:sz w:val="18"/>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A90CF04" id="Text Box 28" o:spid="_x0000_s1028" type="#_x0000_t202" style="position:absolute;margin-left:182.65pt;margin-top:6.9pt;width:20.3pt;height:2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" fillcolor="white [3201]" strokeweight=".5pt">
                <v:textbox>
                  <w:txbxContent>
                    <w:p w14:paraId="1CED2BC9" w14:textId="77777777" w:rsidR="00EB728F" w:rsidRPr="003822CC" w:rsidRDefault="00EB728F" w:rsidP="00EB728F">
                      <w:pPr>
                        <w:jc w:val="center"/>
                        <w:rPr>
                          <w:sz w:val="18"/>
                        </w:rPr>
                      </w:pPr>
                      <w:r>
                        <w:rPr>
                          <w:sz w:val="18"/>
                        </w:rPr>
                        <w:t>B</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6458B3FE" wp14:editId="39FE0738">
                <wp:simplePos x="0" y="0"/>
                <wp:positionH relativeFrom="column">
                  <wp:posOffset>4284364</wp:posOffset>
                </wp:positionH>
                <wp:positionV relativeFrom="paragraph">
                  <wp:posOffset>81912</wp:posOffset>
                </wp:positionV>
                <wp:extent cx="258051" cy="263661"/>
                <wp:effectExtent l="0" t="0" r="27940" b="22225"/>
                <wp:wrapNone/>
                <wp:docPr id="29" name="Text Box 29"/>
                <wp:cNvGraphicFramePr/>
                <a:graphic xmlns:a="http://schemas.openxmlformats.org/drawingml/2006/main">
                  <a:graphicData uri="http://schemas.microsoft.com/office/word/2010/wordprocessingShape">
                    <wps:wsp>
                      <wps:cNvSpPr txBox="1"/>
                      <wps:spPr>
                        <a:xfrm>
                          <a:off x="0" y="0"/>
                          <a:ext cx="258051" cy="263661"/>
                        </a:xfrm>
                        <a:prstGeom prst="rect">
                          <a:avLst/>
                        </a:prstGeom>
                        <a:solidFill>
                          <a:schemeClr val="lt1"/>
                        </a:solidFill>
                        <a:ln w="6350">
                          <a:solidFill>
                            <a:prstClr val="black"/>
                          </a:solidFill>
                        </a:ln>
                      </wps:spPr>
                      <wps:txbx>
                        <w:txbxContent>
                          <w:p w14:paraId="38A7A89F" w14:textId="77777777" w:rsidR="00EB728F" w:rsidRPr="003822CC" w:rsidRDefault="00EB728F" w:rsidP="00EB728F">
                            <w:pPr>
                              <w:jc w:val="center"/>
                              <w:rPr>
                                <w:sz w:val="18"/>
                              </w:rPr>
                            </w:pPr>
                            <w:r>
                              <w:rPr>
                                <w:sz w:val="18"/>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458B3FE" id="Text Box 29" o:spid="_x0000_s1029" type="#_x0000_t202" style="position:absolute;margin-left:337.35pt;margin-top:6.45pt;width:20.3pt;height:2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" fillcolor="white [3201]" strokeweight=".5pt">
                <v:textbox>
                  <w:txbxContent>
                    <w:p w14:paraId="38A7A89F" w14:textId="77777777" w:rsidR="00EB728F" w:rsidRPr="003822CC" w:rsidRDefault="00EB728F" w:rsidP="00EB728F">
                      <w:pPr>
                        <w:jc w:val="center"/>
                        <w:rPr>
                          <w:sz w:val="18"/>
                        </w:rPr>
                      </w:pPr>
                      <w:r>
                        <w:rPr>
                          <w:sz w:val="18"/>
                        </w:rPr>
                        <w:t>C</w:t>
                      </w:r>
                    </w:p>
                  </w:txbxContent>
                </v:textbox>
              </v:shape>
            </w:pict>
          </mc:Fallback>
        </mc:AlternateContent>
      </w:r>
      <w:r w:rsidR="00EB728F" w:rsidRPr="00EB728F">
        <w:t xml:space="preserve"> </w:t>
      </w:r>
      <w:r w:rsidR="00596F26" w:rsidRPr="00596F26">
        <w:rPr>
          <w:noProof/>
        </w:rPr>
        <w:drawing>
          <wp:inline distT="0" distB="0" distL="0" distR="0" wp14:anchorId="6167BF71" wp14:editId="6428328E">
            <wp:extent cx="1879200" cy="1512000"/>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9200" cy="1512000"/>
                    </a:xfrm>
                    <a:prstGeom prst="rect">
                      <a:avLst/>
                    </a:prstGeom>
                    <a:noFill/>
                    <a:ln>
                      <a:noFill/>
                    </a:ln>
                  </pic:spPr>
                </pic:pic>
              </a:graphicData>
            </a:graphic>
          </wp:inline>
        </w:drawing>
      </w:r>
      <w:r w:rsidR="003822CC" w:rsidRPr="003822CC">
        <w:t xml:space="preserve"> </w:t>
      </w:r>
      <w:r w:rsidRPr="00A076E9">
        <w:rPr>
          <w:noProof/>
        </w:rPr>
        <w:drawing>
          <wp:inline distT="0" distB="0" distL="0" distR="0" wp14:anchorId="75286FFD" wp14:editId="2B5D2729">
            <wp:extent cx="1879200" cy="152640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9200" cy="1526400"/>
                    </a:xfrm>
                    <a:prstGeom prst="rect">
                      <a:avLst/>
                    </a:prstGeom>
                    <a:noFill/>
                    <a:ln>
                      <a:noFill/>
                    </a:ln>
                  </pic:spPr>
                </pic:pic>
              </a:graphicData>
            </a:graphic>
          </wp:inline>
        </w:drawing>
      </w:r>
      <w:r w:rsidR="003822CC" w:rsidRPr="003822CC">
        <w:t xml:space="preserve"> </w:t>
      </w:r>
      <w:r w:rsidRPr="00A076E9">
        <w:rPr>
          <w:noProof/>
        </w:rPr>
        <w:drawing>
          <wp:inline distT="0" distB="0" distL="0" distR="0" wp14:anchorId="2FB41940" wp14:editId="2B397F6C">
            <wp:extent cx="1879200" cy="1526400"/>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9200" cy="1526400"/>
                    </a:xfrm>
                    <a:prstGeom prst="rect">
                      <a:avLst/>
                    </a:prstGeom>
                    <a:noFill/>
                    <a:ln>
                      <a:noFill/>
                    </a:ln>
                  </pic:spPr>
                </pic:pic>
              </a:graphicData>
            </a:graphic>
          </wp:inline>
        </w:drawing>
      </w:r>
    </w:p>
    <w:p w14:paraId="56B4D4E4" w14:textId="017C29F5" w:rsidR="00EB728F" w:rsidRDefault="00EB728F" w:rsidP="00EB728F">
      <w:bookmarkStart w:id="4" w:name="_Ref1117532"/>
      <w:r>
        <w:t xml:space="preserve">Figure </w:t>
      </w:r>
      <w:r w:rsidR="001F6654">
        <w:rPr>
          <w:noProof/>
        </w:rPr>
        <w:fldChar w:fldCharType="begin"/>
      </w:r>
      <w:r w:rsidR="001F6654">
        <w:rPr>
          <w:noProof/>
        </w:rPr>
        <w:instrText xml:space="preserve"> SEQ Figure \* ARABIC </w:instrText>
      </w:r>
      <w:r w:rsidR="001F6654">
        <w:rPr>
          <w:noProof/>
        </w:rPr>
        <w:fldChar w:fldCharType="separate"/>
      </w:r>
      <w:r w:rsidR="00874108">
        <w:rPr>
          <w:noProof/>
        </w:rPr>
        <w:t>3</w:t>
      </w:r>
      <w:r w:rsidR="001F6654">
        <w:rPr>
          <w:noProof/>
        </w:rPr>
        <w:fldChar w:fldCharType="end"/>
      </w:r>
      <w:bookmarkEnd w:id="4"/>
      <w:r>
        <w:t>: Simulated P</w:t>
      </w:r>
      <w:r w:rsidRPr="00EB728F">
        <w:rPr>
          <w:vertAlign w:val="subscript"/>
        </w:rPr>
        <w:t xml:space="preserve">NR </w:t>
      </w:r>
      <w:r w:rsidRPr="00830BAE">
        <w:t>(orange</w:t>
      </w:r>
      <w:r w:rsidR="008B027A">
        <w:t xml:space="preserve"> line</w:t>
      </w:r>
      <w:r w:rsidRPr="00830BAE">
        <w:t>)</w:t>
      </w:r>
      <w:r w:rsidR="008B027A">
        <w:t xml:space="preserve"> vs</w:t>
      </w:r>
      <w:r>
        <w:t xml:space="preserve"> measured P</w:t>
      </w:r>
      <w:r w:rsidRPr="00EB728F">
        <w:rPr>
          <w:vertAlign w:val="subscript"/>
        </w:rPr>
        <w:t>NR</w:t>
      </w:r>
      <w:r>
        <w:rPr>
          <w:vertAlign w:val="subscript"/>
        </w:rPr>
        <w:t xml:space="preserve"> </w:t>
      </w:r>
      <w:r w:rsidRPr="00830BAE">
        <w:t>(blue</w:t>
      </w:r>
      <w:r w:rsidR="008B027A">
        <w:t xml:space="preserve"> line</w:t>
      </w:r>
      <w:r w:rsidRPr="00830BAE">
        <w:t xml:space="preserve">), </w:t>
      </w:r>
      <w:r w:rsidR="008B027A" w:rsidRPr="00830BAE">
        <w:t xml:space="preserve">vs </w:t>
      </w:r>
      <w:r>
        <w:t>P</w:t>
      </w:r>
      <w:r w:rsidRPr="00A076E9">
        <w:rPr>
          <w:vertAlign w:val="subscript"/>
        </w:rPr>
        <w:t>NR</w:t>
      </w:r>
      <w:r>
        <w:t xml:space="preserve"> according to </w:t>
      </w:r>
      <w:r w:rsidR="008B027A">
        <w:t>[3] A-MPR agreement</w:t>
      </w:r>
      <w:r>
        <w:t xml:space="preserve"> </w:t>
      </w:r>
      <w:r w:rsidRPr="00830BAE">
        <w:t>(dotted black line</w:t>
      </w:r>
      <w:r w:rsidR="008B027A">
        <w:t>), vs</w:t>
      </w:r>
      <w:r>
        <w:t xml:space="preserve"> </w:t>
      </w:r>
      <w:r w:rsidR="00A076E9">
        <w:t>P</w:t>
      </w:r>
      <w:r w:rsidR="00A076E9" w:rsidRPr="00A076E9">
        <w:rPr>
          <w:vertAlign w:val="subscript"/>
        </w:rPr>
        <w:t>NR</w:t>
      </w:r>
      <w:r>
        <w:t xml:space="preserve"> according to agreed RP#82 A-MPR </w:t>
      </w:r>
      <w:r w:rsidR="008B027A">
        <w:t xml:space="preserve">[1] </w:t>
      </w:r>
      <w:r w:rsidRPr="00830BAE">
        <w:t>(grey line)</w:t>
      </w:r>
      <w:r>
        <w:t xml:space="preserve"> and Delta_PSD </w:t>
      </w:r>
      <w:r w:rsidRPr="00830BAE">
        <w:t>(red line)</w:t>
      </w:r>
      <w:r>
        <w:t xml:space="preserve"> as function of P</w:t>
      </w:r>
      <w:r w:rsidRPr="00EB728F">
        <w:rPr>
          <w:vertAlign w:val="subscript"/>
        </w:rPr>
        <w:t>LTE</w:t>
      </w:r>
      <w:r>
        <w:t xml:space="preserve"> for NR15_L5, NR configured with QPSK DFT-S-OFDM. </w:t>
      </w:r>
      <w:r w:rsidR="008B027A">
        <w:t>“</w:t>
      </w:r>
      <w:r>
        <w:t>A</w:t>
      </w:r>
      <w:r w:rsidR="008B027A">
        <w:t>”</w:t>
      </w:r>
      <w:r>
        <w:t xml:space="preserve">: </w:t>
      </w:r>
      <w:r w:rsidR="00815B55" w:rsidRPr="00FE7420">
        <w:rPr>
          <w:i/>
        </w:rPr>
        <w:t>RB</w:t>
      </w:r>
      <w:r w:rsidR="00815B55" w:rsidRPr="00FE7420">
        <w:rPr>
          <w:i/>
          <w:vertAlign w:val="subscript"/>
        </w:rPr>
        <w:t>tot</w:t>
      </w:r>
      <w:r>
        <w:t xml:space="preserve">=100, </w:t>
      </w:r>
      <w:r w:rsidR="008B027A">
        <w:t>“</w:t>
      </w:r>
      <w:r>
        <w:t>B</w:t>
      </w:r>
      <w:r w:rsidR="008B027A">
        <w:t>”</w:t>
      </w:r>
      <w:r>
        <w:t xml:space="preserve">: </w:t>
      </w:r>
      <w:r w:rsidR="00815B55" w:rsidRPr="00FE7420">
        <w:rPr>
          <w:i/>
        </w:rPr>
        <w:t>RB</w:t>
      </w:r>
      <w:r w:rsidR="00815B55" w:rsidRPr="00FE7420">
        <w:rPr>
          <w:i/>
          <w:vertAlign w:val="subscript"/>
        </w:rPr>
        <w:t>tot</w:t>
      </w:r>
      <w:r>
        <w:t xml:space="preserve">=30, </w:t>
      </w:r>
      <w:r w:rsidR="008B027A">
        <w:t>“</w:t>
      </w:r>
      <w:r>
        <w:t>C</w:t>
      </w:r>
      <w:r w:rsidR="008B027A">
        <w:t>”</w:t>
      </w:r>
      <w:r>
        <w:t>:</w:t>
      </w:r>
      <w:r w:rsidR="00526A6A">
        <w:t xml:space="preserve"> </w:t>
      </w:r>
      <w:r w:rsidR="00815B55" w:rsidRPr="00FE7420">
        <w:rPr>
          <w:i/>
        </w:rPr>
        <w:t>RB</w:t>
      </w:r>
      <w:r w:rsidR="00815B55" w:rsidRPr="00FE7420">
        <w:rPr>
          <w:i/>
          <w:vertAlign w:val="subscript"/>
        </w:rPr>
        <w:t>tot</w:t>
      </w:r>
      <w:r>
        <w:t>=20.</w:t>
      </w:r>
      <w:r w:rsidR="00526A6A">
        <w:t xml:space="preserve"> A 1.2dB correction factor is applied to </w:t>
      </w:r>
      <w:r w:rsidR="00A076E9">
        <w:t>P</w:t>
      </w:r>
      <w:r w:rsidR="00A076E9" w:rsidRPr="00A076E9">
        <w:rPr>
          <w:vertAlign w:val="subscript"/>
        </w:rPr>
        <w:t>NR</w:t>
      </w:r>
      <w:r w:rsidR="00A076E9">
        <w:t xml:space="preserve"> power levels</w:t>
      </w:r>
      <w:r w:rsidR="00526A6A">
        <w:t xml:space="preserve"> obtained from simulations.</w:t>
      </w:r>
      <w:r w:rsidR="00AC2B39">
        <w:t xml:space="preserve"> A power level of -999 dBm is used to illustrate NR dropping on grey and black dotted lines.</w:t>
      </w:r>
    </w:p>
    <w:p w14:paraId="72581C5F" w14:textId="16C64167" w:rsidR="0028187C" w:rsidRPr="00DA7263" w:rsidRDefault="009262DD" w:rsidP="00830BAE">
      <w:pPr>
        <w:jc w:val="both"/>
        <w:rPr>
          <w:b/>
        </w:rPr>
      </w:pPr>
      <w:r w:rsidRPr="00DA7263">
        <w:rPr>
          <w:b/>
        </w:rPr>
        <w:t>Observation 1</w:t>
      </w:r>
      <w:r w:rsidR="00EB728F" w:rsidRPr="00DA7263">
        <w:rPr>
          <w:b/>
        </w:rPr>
        <w:t xml:space="preserve">: </w:t>
      </w:r>
      <w:r w:rsidR="000B7DC7" w:rsidRPr="00DA7263">
        <w:rPr>
          <w:b/>
        </w:rPr>
        <w:t xml:space="preserve">In </w:t>
      </w:r>
      <w:r w:rsidR="00B65A97" w:rsidRPr="00DA7263">
        <w:rPr>
          <w:b/>
        </w:rPr>
        <w:t xml:space="preserve">the </w:t>
      </w:r>
      <w:r w:rsidRPr="00DA7263">
        <w:rPr>
          <w:b/>
        </w:rPr>
        <w:t xml:space="preserve">ACLR limited </w:t>
      </w:r>
      <w:r w:rsidR="000B7DC7" w:rsidRPr="00DA7263">
        <w:rPr>
          <w:b/>
        </w:rPr>
        <w:t>plateau region (</w:t>
      </w:r>
      <w:r w:rsidR="002E65D4" w:rsidRPr="002E65D4">
        <w:rPr>
          <w:b/>
        </w:rPr>
        <w:fldChar w:fldCharType="begin"/>
      </w:r>
      <w:r w:rsidR="002E65D4" w:rsidRPr="002E65D4">
        <w:rPr>
          <w:b/>
        </w:rPr>
        <w:instrText xml:space="preserve"> REF _Ref1117532 \h </w:instrText>
      </w:r>
      <w:r w:rsidR="002E65D4" w:rsidRPr="002E65D4">
        <w:rPr>
          <w:b/>
        </w:rPr>
      </w:r>
      <w:r w:rsidR="002E65D4" w:rsidRPr="002E65D4">
        <w:rPr>
          <w:b/>
        </w:rPr>
        <w:instrText xml:space="preserve"> \* MERGEFORMAT </w:instrText>
      </w:r>
      <w:r w:rsidR="002E65D4" w:rsidRPr="002E65D4">
        <w:rPr>
          <w:b/>
        </w:rPr>
        <w:fldChar w:fldCharType="separate"/>
      </w:r>
      <w:r w:rsidR="002E65D4" w:rsidRPr="002E65D4">
        <w:rPr>
          <w:b/>
        </w:rPr>
        <w:t xml:space="preserve">Figure </w:t>
      </w:r>
      <w:r w:rsidR="002E65D4" w:rsidRPr="002E65D4">
        <w:rPr>
          <w:b/>
          <w:noProof/>
        </w:rPr>
        <w:t>3</w:t>
      </w:r>
      <w:r w:rsidR="002E65D4" w:rsidRPr="002E65D4">
        <w:rPr>
          <w:b/>
        </w:rPr>
        <w:fldChar w:fldCharType="end"/>
      </w:r>
      <w:r w:rsidR="002E65D4">
        <w:rPr>
          <w:b/>
        </w:rPr>
        <w:t>-</w:t>
      </w:r>
      <w:r w:rsidR="000B7DC7" w:rsidRPr="00DA7263">
        <w:rPr>
          <w:b/>
        </w:rPr>
        <w:t>A), measured data is within 1.2 dB from simulated values.</w:t>
      </w:r>
    </w:p>
    <w:p w14:paraId="394557C8" w14:textId="3ABEA8BD" w:rsidR="000B7DC7" w:rsidRPr="00DA7263" w:rsidRDefault="009262DD" w:rsidP="00830BAE">
      <w:pPr>
        <w:jc w:val="both"/>
        <w:rPr>
          <w:b/>
        </w:rPr>
      </w:pPr>
      <w:r w:rsidRPr="00DA7263">
        <w:rPr>
          <w:b/>
        </w:rPr>
        <w:t>Observation 2</w:t>
      </w:r>
      <w:r w:rsidR="000B7DC7" w:rsidRPr="00DA7263">
        <w:rPr>
          <w:b/>
        </w:rPr>
        <w:t xml:space="preserve">: The A-MPR tables valid at </w:t>
      </w:r>
      <w:r w:rsidR="00710E01" w:rsidRPr="00DA7263">
        <w:rPr>
          <w:b/>
        </w:rPr>
        <w:t>RAN4#87 provide ample margin with regards</w:t>
      </w:r>
      <w:r w:rsidR="000B7DC7" w:rsidRPr="00DA7263">
        <w:rPr>
          <w:b/>
        </w:rPr>
        <w:t xml:space="preserve"> to P</w:t>
      </w:r>
      <w:r w:rsidR="000B7DC7" w:rsidRPr="00DA7263">
        <w:rPr>
          <w:b/>
          <w:vertAlign w:val="subscript"/>
        </w:rPr>
        <w:t>NR</w:t>
      </w:r>
      <w:r w:rsidR="000B7DC7" w:rsidRPr="00DA7263">
        <w:rPr>
          <w:b/>
        </w:rPr>
        <w:t xml:space="preserve"> values obtained by measurements.</w:t>
      </w:r>
      <w:r w:rsidR="00596F26" w:rsidRPr="00DA7263">
        <w:rPr>
          <w:b/>
        </w:rPr>
        <w:t xml:space="preserve"> </w:t>
      </w:r>
      <w:r w:rsidR="004D3D59" w:rsidRPr="00DA7263">
        <w:rPr>
          <w:b/>
        </w:rPr>
        <w:t>From a measurement perspective, t</w:t>
      </w:r>
      <w:r w:rsidR="00596F26" w:rsidRPr="00DA7263">
        <w:rPr>
          <w:b/>
        </w:rPr>
        <w:t>he extra 1</w:t>
      </w:r>
      <w:r w:rsidR="00DA7263">
        <w:rPr>
          <w:b/>
        </w:rPr>
        <w:t xml:space="preserve"> </w:t>
      </w:r>
      <w:r w:rsidR="00596F26" w:rsidRPr="00DA7263">
        <w:rPr>
          <w:b/>
        </w:rPr>
        <w:t>dB added in RP#82 does not appear to be necessary</w:t>
      </w:r>
      <w:r w:rsidR="004D3D59" w:rsidRPr="00DA7263">
        <w:rPr>
          <w:b/>
        </w:rPr>
        <w:t xml:space="preserve"> for </w:t>
      </w:r>
      <w:r w:rsidR="00815B55" w:rsidRPr="00DA7263">
        <w:rPr>
          <w:b/>
          <w:i/>
        </w:rPr>
        <w:t>RB</w:t>
      </w:r>
      <w:r w:rsidR="00815B55" w:rsidRPr="00DA7263">
        <w:rPr>
          <w:b/>
          <w:i/>
          <w:vertAlign w:val="subscript"/>
        </w:rPr>
        <w:t xml:space="preserve">tot </w:t>
      </w:r>
      <w:r w:rsidR="004D3D59" w:rsidRPr="00DA7263">
        <w:rPr>
          <w:b/>
        </w:rPr>
        <w:t xml:space="preserve">&gt;=20. Simulation data indicates it is not needed across the entire range of </w:t>
      </w:r>
      <w:r w:rsidR="00DA7263" w:rsidRPr="00DA7263">
        <w:rPr>
          <w:b/>
          <w:i/>
        </w:rPr>
        <w:t>RB</w:t>
      </w:r>
      <w:r w:rsidR="00DA7263" w:rsidRPr="00DA7263">
        <w:rPr>
          <w:b/>
          <w:i/>
          <w:vertAlign w:val="subscript"/>
        </w:rPr>
        <w:t>tot</w:t>
      </w:r>
      <w:r w:rsidR="004D3D59" w:rsidRPr="00DA7263">
        <w:rPr>
          <w:b/>
        </w:rPr>
        <w:t xml:space="preserve"> values.</w:t>
      </w:r>
    </w:p>
    <w:p w14:paraId="34456375" w14:textId="06842166" w:rsidR="00596F26" w:rsidRPr="00DA7263" w:rsidRDefault="009262DD" w:rsidP="00830BAE">
      <w:pPr>
        <w:jc w:val="both"/>
        <w:rPr>
          <w:b/>
        </w:rPr>
      </w:pPr>
      <w:r w:rsidRPr="00DA7263">
        <w:rPr>
          <w:b/>
        </w:rPr>
        <w:t>Observation 3</w:t>
      </w:r>
      <w:r w:rsidR="00596F26" w:rsidRPr="00DA7263">
        <w:rPr>
          <w:b/>
        </w:rPr>
        <w:t>: The measured PSD difference between the MCG and PCG exhibit</w:t>
      </w:r>
      <w:r w:rsidR="00664078">
        <w:rPr>
          <w:b/>
        </w:rPr>
        <w:t>s</w:t>
      </w:r>
      <w:r w:rsidR="00596F26" w:rsidRPr="00DA7263">
        <w:rPr>
          <w:b/>
        </w:rPr>
        <w:t xml:space="preserve"> a large spread depending on the operating point: -10.1 to 19.8 dB in Fig.9-A, -3.7 to 8 db in Fig.9-B, -6.6 to 3.9 dB in Fig.9-C.</w:t>
      </w:r>
    </w:p>
    <w:p w14:paraId="65054423" w14:textId="61579CEE" w:rsidR="00BB0B76" w:rsidRPr="00DA7263" w:rsidRDefault="00BB0B76" w:rsidP="00830BAE">
      <w:pPr>
        <w:jc w:val="both"/>
        <w:rPr>
          <w:b/>
        </w:rPr>
      </w:pPr>
      <w:r w:rsidRPr="00DA7263">
        <w:rPr>
          <w:b/>
        </w:rPr>
        <w:t xml:space="preserve">Observation </w:t>
      </w:r>
      <w:r w:rsidR="00C742D6" w:rsidRPr="00DA7263">
        <w:rPr>
          <w:b/>
        </w:rPr>
        <w:t>4</w:t>
      </w:r>
      <w:r w:rsidRPr="00DA7263">
        <w:rPr>
          <w:b/>
        </w:rPr>
        <w:t xml:space="preserve">: The measured and simulated data indicate that it is possible to avoid NR </w:t>
      </w:r>
      <w:r w:rsidR="009262DD" w:rsidRPr="00DA7263">
        <w:rPr>
          <w:b/>
        </w:rPr>
        <w:t xml:space="preserve">dropping </w:t>
      </w:r>
      <w:r w:rsidRPr="00DA7263">
        <w:rPr>
          <w:b/>
        </w:rPr>
        <w:t xml:space="preserve">even </w:t>
      </w:r>
      <w:r w:rsidR="008B027A" w:rsidRPr="00DA7263">
        <w:rPr>
          <w:b/>
        </w:rPr>
        <w:t>for</w:t>
      </w:r>
      <w:r w:rsidRPr="00DA7263">
        <w:rPr>
          <w:b/>
        </w:rPr>
        <w:t xml:space="preserve"> P</w:t>
      </w:r>
      <w:r w:rsidR="00D44657" w:rsidRPr="00DA7263">
        <w:rPr>
          <w:b/>
          <w:vertAlign w:val="subscript"/>
        </w:rPr>
        <w:t>LTE</w:t>
      </w:r>
      <w:r w:rsidR="008B027A" w:rsidRPr="00DA7263">
        <w:rPr>
          <w:b/>
        </w:rPr>
        <w:t xml:space="preserve"> &gt;= 15 dBm. </w:t>
      </w:r>
      <w:r w:rsidR="00D44657" w:rsidRPr="00DA7263">
        <w:rPr>
          <w:b/>
        </w:rPr>
        <w:t>It can also be seen in Fig.9-A that for P</w:t>
      </w:r>
      <w:r w:rsidR="00D44657" w:rsidRPr="00DA7263">
        <w:rPr>
          <w:b/>
          <w:vertAlign w:val="subscript"/>
        </w:rPr>
        <w:t>LTE</w:t>
      </w:r>
      <w:r w:rsidR="00D44657" w:rsidRPr="00DA7263">
        <w:rPr>
          <w:b/>
        </w:rPr>
        <w:t xml:space="preserve"> &lt;=12 dBm, it is possible to operate NR at power levels &gt;= 20 dBm. </w:t>
      </w:r>
    </w:p>
    <w:p w14:paraId="7354B6A0" w14:textId="2F4C8026" w:rsidR="00DF0001" w:rsidRPr="006418C7" w:rsidRDefault="00D44657" w:rsidP="00830BAE">
      <w:pPr>
        <w:jc w:val="both"/>
        <w:rPr>
          <w:b/>
        </w:rPr>
      </w:pPr>
      <w:r>
        <w:t>More measurement results are expected before the start of the meeting</w:t>
      </w:r>
      <w:r w:rsidR="008B027A">
        <w:t xml:space="preserve"> to check QPSK CP-OFDM N15_L5 and </w:t>
      </w:r>
      <w:r w:rsidR="008B027A" w:rsidRPr="00FE7420">
        <w:rPr>
          <w:i/>
        </w:rPr>
        <w:t>RB</w:t>
      </w:r>
      <w:r w:rsidR="008B027A" w:rsidRPr="00FE7420">
        <w:rPr>
          <w:i/>
          <w:vertAlign w:val="subscript"/>
        </w:rPr>
        <w:t>tot</w:t>
      </w:r>
      <w:r w:rsidR="008B027A">
        <w:t xml:space="preserve"> values in brackets. </w:t>
      </w:r>
      <w:r w:rsidR="00DF0001">
        <w:t xml:space="preserve">Looking forward, </w:t>
      </w:r>
      <w:r w:rsidR="003A3793">
        <w:t xml:space="preserve">if </w:t>
      </w:r>
      <w:r w:rsidR="008B027A">
        <w:t>correlation between measurements and simulation is</w:t>
      </w:r>
      <w:r w:rsidR="00DF0001">
        <w:t xml:space="preserve"> confirmed across waveform types and other cell BW, </w:t>
      </w:r>
      <w:r w:rsidR="003A3793">
        <w:t>t</w:t>
      </w:r>
      <w:r w:rsidR="003A3793" w:rsidRPr="003A3793">
        <w:t>his w</w:t>
      </w:r>
      <w:r w:rsidR="00DA7263">
        <w:t xml:space="preserve">ork will be used to perform Release </w:t>
      </w:r>
      <w:r w:rsidR="003A3793" w:rsidRPr="003A3793">
        <w:t>16 studies as agreed in [4] and for other similar intra-band EN-DC deployments such as DC_(n)5AA.</w:t>
      </w:r>
    </w:p>
    <w:p w14:paraId="12CE9BEA" w14:textId="77777777" w:rsidR="00A645E7" w:rsidRDefault="00A645E7" w:rsidP="00A645E7">
      <w:pPr>
        <w:pStyle w:val="Heading1"/>
      </w:pPr>
      <w:r>
        <w:lastRenderedPageBreak/>
        <w:t>Conclusions</w:t>
      </w:r>
    </w:p>
    <w:p w14:paraId="1B4010F0" w14:textId="5DBF46C4" w:rsidR="00087F65" w:rsidRDefault="006418C7" w:rsidP="00596F26">
      <w:pPr>
        <w:spacing w:after="0"/>
      </w:pPr>
      <w:r>
        <w:t>In this contribution</w:t>
      </w:r>
      <w:r w:rsidR="00596F26">
        <w:t xml:space="preserve"> the</w:t>
      </w:r>
      <w:r>
        <w:t xml:space="preserve"> required back-off needed to meet </w:t>
      </w:r>
      <w:r w:rsidR="00596F26">
        <w:t xml:space="preserve">DC_(n)71AA </w:t>
      </w:r>
      <w:r>
        <w:t xml:space="preserve">out of band emissions for NR operation </w:t>
      </w:r>
      <w:r w:rsidR="00EA10FB">
        <w:t>in DC_(n)71AA</w:t>
      </w:r>
      <w:r w:rsidR="00596F26">
        <w:t xml:space="preserve"> </w:t>
      </w:r>
      <w:r>
        <w:t xml:space="preserve">has been studied. </w:t>
      </w:r>
      <w:r w:rsidR="00815B55">
        <w:t xml:space="preserve">A 1.2 dB correction factor offset seem to provide good agreement between experimental measurements and simulation results for </w:t>
      </w:r>
      <w:r w:rsidR="00815B55" w:rsidRPr="00FE7420">
        <w:rPr>
          <w:i/>
        </w:rPr>
        <w:t>RB</w:t>
      </w:r>
      <w:r w:rsidR="00815B55" w:rsidRPr="00FE7420">
        <w:rPr>
          <w:i/>
          <w:vertAlign w:val="subscript"/>
        </w:rPr>
        <w:t>tot</w:t>
      </w:r>
      <w:r w:rsidR="00815B55">
        <w:rPr>
          <w:i/>
          <w:vertAlign w:val="subscript"/>
        </w:rPr>
        <w:t xml:space="preserve"> </w:t>
      </w:r>
      <w:r w:rsidR="00815B55">
        <w:t>&gt;=20. We observe:</w:t>
      </w:r>
    </w:p>
    <w:p w14:paraId="05AB3BD3" w14:textId="1522AE40" w:rsidR="00815B55" w:rsidRDefault="00815B55" w:rsidP="00596F26">
      <w:pPr>
        <w:spacing w:after="0"/>
      </w:pPr>
    </w:p>
    <w:p w14:paraId="04B405D3" w14:textId="77777777" w:rsidR="002C4F31" w:rsidRPr="00DA7263" w:rsidRDefault="002C4F31" w:rsidP="002C4F31">
      <w:pPr>
        <w:jc w:val="both"/>
        <w:rPr>
          <w:b/>
        </w:rPr>
      </w:pPr>
      <w:r w:rsidRPr="00DA7263">
        <w:rPr>
          <w:b/>
        </w:rPr>
        <w:t>Observation 1: In the ACLR limited plateau region (</w:t>
      </w:r>
      <w:r w:rsidRPr="002E65D4">
        <w:rPr>
          <w:b/>
        </w:rPr>
        <w:fldChar w:fldCharType="begin"/>
      </w:r>
      <w:r w:rsidRPr="002E65D4">
        <w:rPr>
          <w:b/>
        </w:rPr>
        <w:instrText xml:space="preserve"> REF _Ref1117532 \h </w:instrText>
      </w:r>
      <w:r w:rsidRPr="002E65D4">
        <w:rPr>
          <w:b/>
        </w:rPr>
      </w:r>
      <w:r w:rsidRPr="002E65D4">
        <w:rPr>
          <w:b/>
        </w:rPr>
        <w:instrText xml:space="preserve"> \* MERGEFORMAT </w:instrText>
      </w:r>
      <w:r w:rsidRPr="002E65D4">
        <w:rPr>
          <w:b/>
        </w:rPr>
        <w:fldChar w:fldCharType="separate"/>
      </w:r>
      <w:r w:rsidRPr="002E65D4">
        <w:rPr>
          <w:b/>
        </w:rPr>
        <w:t xml:space="preserve">Figure </w:t>
      </w:r>
      <w:r w:rsidRPr="002E65D4">
        <w:rPr>
          <w:b/>
          <w:noProof/>
        </w:rPr>
        <w:t>3</w:t>
      </w:r>
      <w:r w:rsidRPr="002E65D4">
        <w:rPr>
          <w:b/>
        </w:rPr>
        <w:fldChar w:fldCharType="end"/>
      </w:r>
      <w:r>
        <w:rPr>
          <w:b/>
        </w:rPr>
        <w:t>-</w:t>
      </w:r>
      <w:r w:rsidRPr="00DA7263">
        <w:rPr>
          <w:b/>
        </w:rPr>
        <w:t>A), measured data is within 1.2 dB from simulated values.</w:t>
      </w:r>
    </w:p>
    <w:p w14:paraId="09503544" w14:textId="77777777" w:rsidR="002C4F31" w:rsidRPr="00DA7263" w:rsidRDefault="002C4F31" w:rsidP="002C4F31">
      <w:pPr>
        <w:jc w:val="both"/>
        <w:rPr>
          <w:b/>
        </w:rPr>
      </w:pPr>
      <w:r w:rsidRPr="00DA7263">
        <w:rPr>
          <w:b/>
        </w:rPr>
        <w:t>Observation 2: The A-MPR tables valid at RAN4#87 provide ample margin with regards to P</w:t>
      </w:r>
      <w:r w:rsidRPr="00DA7263">
        <w:rPr>
          <w:b/>
          <w:vertAlign w:val="subscript"/>
        </w:rPr>
        <w:t>NR</w:t>
      </w:r>
      <w:r w:rsidRPr="00DA7263">
        <w:rPr>
          <w:b/>
        </w:rPr>
        <w:t xml:space="preserve"> values obtained by measurements. From a measurement perspective, the extra 1</w:t>
      </w:r>
      <w:r>
        <w:rPr>
          <w:b/>
        </w:rPr>
        <w:t xml:space="preserve"> </w:t>
      </w:r>
      <w:r w:rsidRPr="00DA7263">
        <w:rPr>
          <w:b/>
        </w:rPr>
        <w:t xml:space="preserve">dB added in RP#82 does not appear to be necessary for </w:t>
      </w:r>
      <w:proofErr w:type="spellStart"/>
      <w:r w:rsidRPr="00DA7263">
        <w:rPr>
          <w:b/>
          <w:i/>
        </w:rPr>
        <w:t>RB</w:t>
      </w:r>
      <w:r w:rsidRPr="00DA7263">
        <w:rPr>
          <w:b/>
          <w:i/>
          <w:vertAlign w:val="subscript"/>
        </w:rPr>
        <w:t>tot</w:t>
      </w:r>
      <w:proofErr w:type="spellEnd"/>
      <w:r w:rsidRPr="00DA7263">
        <w:rPr>
          <w:b/>
          <w:i/>
          <w:vertAlign w:val="subscript"/>
        </w:rPr>
        <w:t xml:space="preserve"> </w:t>
      </w:r>
      <w:r w:rsidRPr="00DA7263">
        <w:rPr>
          <w:b/>
        </w:rPr>
        <w:t xml:space="preserve">&gt;=20. Simulation data indicates it is not needed across the entire range of </w:t>
      </w:r>
      <w:proofErr w:type="spellStart"/>
      <w:r w:rsidRPr="00DA7263">
        <w:rPr>
          <w:b/>
          <w:i/>
        </w:rPr>
        <w:t>RB</w:t>
      </w:r>
      <w:r w:rsidRPr="00DA7263">
        <w:rPr>
          <w:b/>
          <w:i/>
          <w:vertAlign w:val="subscript"/>
        </w:rPr>
        <w:t>tot</w:t>
      </w:r>
      <w:proofErr w:type="spellEnd"/>
      <w:r w:rsidRPr="00DA7263">
        <w:rPr>
          <w:b/>
        </w:rPr>
        <w:t xml:space="preserve"> values.</w:t>
      </w:r>
    </w:p>
    <w:p w14:paraId="65181B5C" w14:textId="77777777" w:rsidR="002C4F31" w:rsidRPr="00DA7263" w:rsidRDefault="002C4F31" w:rsidP="002C4F31">
      <w:pPr>
        <w:jc w:val="both"/>
        <w:rPr>
          <w:b/>
        </w:rPr>
      </w:pPr>
      <w:r w:rsidRPr="00DA7263">
        <w:rPr>
          <w:b/>
        </w:rPr>
        <w:t>Observation 3: The measured PSD difference between the MCG and PCG exhibit</w:t>
      </w:r>
      <w:r>
        <w:rPr>
          <w:b/>
        </w:rPr>
        <w:t>s</w:t>
      </w:r>
      <w:r w:rsidRPr="00DA7263">
        <w:rPr>
          <w:b/>
        </w:rPr>
        <w:t xml:space="preserve"> a large spread depending on the operating point: -10.1 to 19.8 dB in Fig.9-A, -3.7 to 8 db in F</w:t>
      </w:r>
      <w:bookmarkStart w:id="5" w:name="_GoBack"/>
      <w:bookmarkEnd w:id="5"/>
      <w:r w:rsidRPr="00DA7263">
        <w:rPr>
          <w:b/>
        </w:rPr>
        <w:t>ig.9-B, -6.6 to 3.9 dB in Fig.9-C.</w:t>
      </w:r>
    </w:p>
    <w:p w14:paraId="68DE9853" w14:textId="77777777" w:rsidR="002C4F31" w:rsidRPr="00DA7263" w:rsidRDefault="002C4F31" w:rsidP="002C4F31">
      <w:pPr>
        <w:jc w:val="both"/>
        <w:rPr>
          <w:b/>
        </w:rPr>
      </w:pPr>
      <w:r w:rsidRPr="00DA7263">
        <w:rPr>
          <w:b/>
        </w:rPr>
        <w:t>Observation 4: The measured and simulated data indicate that it is possible to avoid NR dropping even for P</w:t>
      </w:r>
      <w:r w:rsidRPr="00DA7263">
        <w:rPr>
          <w:b/>
          <w:vertAlign w:val="subscript"/>
        </w:rPr>
        <w:t>LTE</w:t>
      </w:r>
      <w:r w:rsidRPr="00DA7263">
        <w:rPr>
          <w:b/>
        </w:rPr>
        <w:t xml:space="preserve"> &gt;= 15 </w:t>
      </w:r>
      <w:proofErr w:type="spellStart"/>
      <w:r w:rsidRPr="00DA7263">
        <w:rPr>
          <w:b/>
        </w:rPr>
        <w:t>dBm</w:t>
      </w:r>
      <w:proofErr w:type="spellEnd"/>
      <w:r w:rsidRPr="00DA7263">
        <w:rPr>
          <w:b/>
        </w:rPr>
        <w:t>. It can also be seen in Fig.9-A that for P</w:t>
      </w:r>
      <w:r w:rsidRPr="00DA7263">
        <w:rPr>
          <w:b/>
          <w:vertAlign w:val="subscript"/>
        </w:rPr>
        <w:t>LTE</w:t>
      </w:r>
      <w:r w:rsidRPr="00DA7263">
        <w:rPr>
          <w:b/>
        </w:rPr>
        <w:t xml:space="preserve"> &lt;=12 </w:t>
      </w:r>
      <w:proofErr w:type="spellStart"/>
      <w:r w:rsidRPr="00DA7263">
        <w:rPr>
          <w:b/>
        </w:rPr>
        <w:t>dBm</w:t>
      </w:r>
      <w:proofErr w:type="spellEnd"/>
      <w:r w:rsidRPr="00DA7263">
        <w:rPr>
          <w:b/>
        </w:rPr>
        <w:t xml:space="preserve">, it is possible to operate NR at power levels &gt;= 20 </w:t>
      </w:r>
      <w:proofErr w:type="spellStart"/>
      <w:r w:rsidRPr="00DA7263">
        <w:rPr>
          <w:b/>
        </w:rPr>
        <w:t>dBm</w:t>
      </w:r>
      <w:proofErr w:type="spellEnd"/>
      <w:r w:rsidRPr="00DA7263">
        <w:rPr>
          <w:b/>
        </w:rPr>
        <w:t xml:space="preserve">. </w:t>
      </w:r>
    </w:p>
    <w:p w14:paraId="6F64187C" w14:textId="4F832020" w:rsidR="00815B55" w:rsidRDefault="00815B55" w:rsidP="00815B55">
      <w:pPr>
        <w:spacing w:after="0"/>
      </w:pPr>
      <w:r>
        <w:t xml:space="preserve">Further measurements are currently being ran to confirm the validity of these observations across </w:t>
      </w:r>
      <w:r w:rsidRPr="00FE7420">
        <w:rPr>
          <w:i/>
        </w:rPr>
        <w:t>RB</w:t>
      </w:r>
      <w:r w:rsidRPr="00FE7420">
        <w:rPr>
          <w:i/>
          <w:vertAlign w:val="subscript"/>
        </w:rPr>
        <w:t>tot</w:t>
      </w:r>
      <w:r>
        <w:rPr>
          <w:i/>
          <w:vertAlign w:val="subscript"/>
        </w:rPr>
        <w:t xml:space="preserve"> </w:t>
      </w:r>
      <w:r>
        <w:t xml:space="preserve">&gt;=2, and for CP-OFDM QPSK NR modulation, as well as for other CBW combinations. </w:t>
      </w:r>
      <w:r w:rsidR="003A3793" w:rsidRPr="003A3793">
        <w:t>This w</w:t>
      </w:r>
      <w:r w:rsidR="00DA7263">
        <w:t>ork will be used to perform Release</w:t>
      </w:r>
      <w:r w:rsidR="003A3793" w:rsidRPr="003A3793">
        <w:t>16 studies as agreed in [4] and for other similar intra-band EN-DC deployments such as DC_(n)5AA.</w:t>
      </w:r>
    </w:p>
    <w:p w14:paraId="6E83813F" w14:textId="77777777" w:rsidR="00815B55" w:rsidRPr="006418C7" w:rsidRDefault="00815B55" w:rsidP="00596F26">
      <w:pPr>
        <w:spacing w:after="0"/>
        <w:rPr>
          <w:b/>
        </w:rPr>
      </w:pPr>
    </w:p>
    <w:p w14:paraId="03D6921F" w14:textId="77777777" w:rsidR="00F10F97" w:rsidRDefault="007321E3" w:rsidP="00C8525F">
      <w:pPr>
        <w:pStyle w:val="Heading1"/>
        <w:numPr>
          <w:ilvl w:val="0"/>
          <w:numId w:val="0"/>
        </w:numPr>
        <w:jc w:val="both"/>
      </w:pPr>
      <w:r>
        <w:t>R</w:t>
      </w:r>
      <w:r w:rsidR="00F10F97">
        <w:t>eferences</w:t>
      </w:r>
    </w:p>
    <w:p w14:paraId="59B054F3" w14:textId="33483193" w:rsidR="007105DF" w:rsidRDefault="004F0970" w:rsidP="00D3489B">
      <w:pPr>
        <w:jc w:val="both"/>
        <w:rPr>
          <w:rFonts w:eastAsia="SimSun"/>
          <w:lang w:eastAsia="zh-CN"/>
        </w:rPr>
      </w:pPr>
      <w:r>
        <w:t>[1]</w:t>
      </w:r>
      <w:r w:rsidRPr="00ED2F28">
        <w:tab/>
      </w:r>
      <w:r w:rsidR="00DD4CB1" w:rsidRPr="00DD4CB1">
        <w:rPr>
          <w:rFonts w:eastAsia="SimSun"/>
          <w:lang w:eastAsia="zh-CN"/>
        </w:rPr>
        <w:t>RP-182</w:t>
      </w:r>
      <w:r w:rsidR="001D5D03">
        <w:rPr>
          <w:rFonts w:eastAsia="SimSun"/>
          <w:lang w:eastAsia="zh-CN"/>
        </w:rPr>
        <w:t>2773</w:t>
      </w:r>
      <w:r w:rsidR="00DD4CB1">
        <w:rPr>
          <w:rFonts w:eastAsia="SimSun"/>
          <w:lang w:eastAsia="zh-CN"/>
        </w:rPr>
        <w:t xml:space="preserve">, </w:t>
      </w:r>
      <w:r w:rsidR="001D5D03" w:rsidRPr="001D5D03">
        <w:rPr>
          <w:rFonts w:eastAsia="SimSun"/>
          <w:lang w:eastAsia="zh-CN"/>
        </w:rPr>
        <w:t>Completion of configured maximum output power for intra-band contiguous EN-DC</w:t>
      </w:r>
      <w:r w:rsidR="00DD4CB1">
        <w:rPr>
          <w:rFonts w:eastAsia="SimSun"/>
          <w:lang w:eastAsia="zh-CN"/>
        </w:rPr>
        <w:t>,</w:t>
      </w:r>
      <w:r w:rsidR="001D5D03">
        <w:rPr>
          <w:rFonts w:eastAsia="SimSun"/>
          <w:lang w:eastAsia="zh-CN"/>
        </w:rPr>
        <w:t xml:space="preserve"> </w:t>
      </w:r>
      <w:r w:rsidR="001D5D03" w:rsidRPr="001D5D03">
        <w:rPr>
          <w:rFonts w:eastAsia="SimSun"/>
          <w:lang w:eastAsia="zh-CN"/>
        </w:rPr>
        <w:t>Ericsson, Qualcomm</w:t>
      </w:r>
      <w:r w:rsidR="001D5D03">
        <w:rPr>
          <w:rFonts w:eastAsia="SimSun"/>
          <w:lang w:eastAsia="zh-CN"/>
        </w:rPr>
        <w:t>,</w:t>
      </w:r>
      <w:r w:rsidR="00DD4CB1">
        <w:rPr>
          <w:rFonts w:eastAsia="SimSun"/>
          <w:lang w:eastAsia="zh-CN"/>
        </w:rPr>
        <w:t xml:space="preserve"> R</w:t>
      </w:r>
      <w:r w:rsidR="001D5D03">
        <w:rPr>
          <w:rFonts w:eastAsia="SimSun"/>
          <w:lang w:eastAsia="zh-CN"/>
        </w:rPr>
        <w:t>P</w:t>
      </w:r>
      <w:r w:rsidR="00DD4CB1">
        <w:rPr>
          <w:rFonts w:eastAsia="SimSun"/>
          <w:lang w:eastAsia="zh-CN"/>
        </w:rPr>
        <w:t>#82</w:t>
      </w:r>
      <w:r w:rsidR="001D5D03">
        <w:rPr>
          <w:rFonts w:eastAsia="SimSun"/>
          <w:lang w:eastAsia="zh-CN"/>
        </w:rPr>
        <w:t>.</w:t>
      </w:r>
    </w:p>
    <w:p w14:paraId="7352CFA8" w14:textId="0A5574AE" w:rsidR="004A5643" w:rsidRDefault="00152050" w:rsidP="00152050">
      <w:pPr>
        <w:jc w:val="both"/>
        <w:rPr>
          <w:rFonts w:eastAsia="SimSun"/>
          <w:lang w:eastAsia="zh-CN"/>
        </w:rPr>
      </w:pPr>
      <w:r w:rsidRPr="00710E01">
        <w:t>[2]</w:t>
      </w:r>
      <w:r w:rsidRPr="00710E01">
        <w:tab/>
      </w:r>
      <w:r w:rsidR="004D3D59" w:rsidRPr="00710E01">
        <w:rPr>
          <w:rFonts w:eastAsia="SimSun"/>
          <w:lang w:eastAsia="zh-CN"/>
        </w:rPr>
        <w:t>R4-1814973</w:t>
      </w:r>
      <w:r w:rsidR="00DA7263">
        <w:rPr>
          <w:rFonts w:eastAsia="SimSun"/>
          <w:lang w:eastAsia="zh-CN"/>
        </w:rPr>
        <w:t xml:space="preserve">, </w:t>
      </w:r>
      <w:r w:rsidR="004D3D59" w:rsidRPr="00710E01">
        <w:rPr>
          <w:rFonts w:eastAsia="SimSun"/>
          <w:lang w:eastAsia="zh-CN"/>
        </w:rPr>
        <w:t>On</w:t>
      </w:r>
      <w:r w:rsidR="004D3D59" w:rsidRPr="004D3D59">
        <w:rPr>
          <w:rFonts w:eastAsia="SimSun"/>
          <w:lang w:eastAsia="zh-CN"/>
        </w:rPr>
        <w:t xml:space="preserve"> DC_(n)71AA new A-MPR approach and intraband contiguous EN-DC Pcmax</w:t>
      </w:r>
      <w:r w:rsidR="004D3D59">
        <w:rPr>
          <w:rFonts w:eastAsia="SimSun"/>
          <w:lang w:eastAsia="zh-CN"/>
        </w:rPr>
        <w:t xml:space="preserve">, </w:t>
      </w:r>
      <w:r w:rsidR="004D3D59" w:rsidRPr="004D3D59">
        <w:rPr>
          <w:rFonts w:eastAsia="SimSun"/>
          <w:lang w:eastAsia="zh-CN"/>
        </w:rPr>
        <w:t>Nokia, Nokia Shanghai Bell</w:t>
      </w:r>
      <w:r w:rsidR="004D3D59">
        <w:rPr>
          <w:rFonts w:eastAsia="SimSun"/>
          <w:lang w:eastAsia="zh-CN"/>
        </w:rPr>
        <w:t xml:space="preserve">, </w:t>
      </w:r>
      <w:r w:rsidR="004D3D59" w:rsidRPr="004D3D59">
        <w:rPr>
          <w:rFonts w:eastAsia="SimSun"/>
          <w:lang w:eastAsia="zh-CN"/>
        </w:rPr>
        <w:t>WG4 Meeting #89</w:t>
      </w:r>
      <w:r w:rsidR="004D3D59">
        <w:rPr>
          <w:rFonts w:eastAsia="SimSun"/>
          <w:lang w:eastAsia="zh-CN"/>
        </w:rPr>
        <w:t>.</w:t>
      </w:r>
    </w:p>
    <w:p w14:paraId="5CB7D620" w14:textId="4256D9F4" w:rsidR="00152050" w:rsidRDefault="004A5643" w:rsidP="00152050">
      <w:pPr>
        <w:jc w:val="both"/>
        <w:rPr>
          <w:rFonts w:eastAsia="SimSun"/>
          <w:lang w:eastAsia="zh-CN"/>
        </w:rPr>
      </w:pPr>
      <w:r>
        <w:rPr>
          <w:rFonts w:eastAsia="SimSun"/>
          <w:lang w:eastAsia="zh-CN"/>
        </w:rPr>
        <w:t>[3] 38.101-3 v15.3.0, clause 6.2B.3.1.1 “</w:t>
      </w:r>
      <w:r w:rsidRPr="004A5643">
        <w:rPr>
          <w:rFonts w:eastAsia="SimSun"/>
          <w:lang w:eastAsia="zh-CN"/>
        </w:rPr>
        <w:t>A-MPR for DC_(n)71B</w:t>
      </w:r>
      <w:r>
        <w:rPr>
          <w:rFonts w:eastAsia="SimSun"/>
          <w:lang w:eastAsia="zh-CN"/>
        </w:rPr>
        <w:t>”</w:t>
      </w:r>
    </w:p>
    <w:p w14:paraId="0958AA96" w14:textId="29F4A52D" w:rsidR="008B027A" w:rsidRDefault="008B027A" w:rsidP="00152050">
      <w:pPr>
        <w:jc w:val="both"/>
        <w:rPr>
          <w:rFonts w:eastAsia="SimSun"/>
          <w:lang w:eastAsia="zh-CN"/>
        </w:rPr>
      </w:pPr>
      <w:r>
        <w:rPr>
          <w:rFonts w:eastAsia="SimSun"/>
          <w:lang w:eastAsia="zh-CN"/>
        </w:rPr>
        <w:t xml:space="preserve">[4] </w:t>
      </w:r>
      <w:r w:rsidRPr="008B027A">
        <w:rPr>
          <w:rFonts w:eastAsia="SimSun"/>
          <w:lang w:eastAsia="zh-CN"/>
        </w:rPr>
        <w:t>R4-1816754</w:t>
      </w:r>
      <w:r>
        <w:rPr>
          <w:rFonts w:eastAsia="SimSun"/>
          <w:lang w:eastAsia="zh-CN"/>
        </w:rPr>
        <w:t xml:space="preserve">, </w:t>
      </w:r>
      <w:r w:rsidRPr="008B027A">
        <w:rPr>
          <w:rFonts w:eastAsia="SimSun"/>
          <w:lang w:eastAsia="zh-CN"/>
        </w:rPr>
        <w:t>Miraculous way forward on Intra-band EN-DC MPR, A-MPR, and Pcmax</w:t>
      </w:r>
      <w:r>
        <w:rPr>
          <w:rFonts w:eastAsia="SimSun"/>
          <w:lang w:eastAsia="zh-CN"/>
        </w:rPr>
        <w:t xml:space="preserve">, </w:t>
      </w:r>
      <w:r w:rsidRPr="008B027A">
        <w:rPr>
          <w:rFonts w:eastAsia="SimSun"/>
          <w:lang w:eastAsia="zh-CN"/>
        </w:rPr>
        <w:t>Qualcomm Incorporated, Nokia, Skyworks Solutions, T-Mobile USA</w:t>
      </w:r>
      <w:r>
        <w:rPr>
          <w:rFonts w:eastAsia="SimSun"/>
          <w:lang w:eastAsia="zh-CN"/>
        </w:rPr>
        <w:t>.</w:t>
      </w:r>
    </w:p>
    <w:sectPr w:rsidR="008B027A" w:rsidSect="00D06FAD">
      <w:footerReference w:type="default" r:id="rId1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A7D35" w14:textId="77777777" w:rsidR="00AB245E" w:rsidRDefault="00AB245E">
      <w:r>
        <w:separator/>
      </w:r>
    </w:p>
  </w:endnote>
  <w:endnote w:type="continuationSeparator" w:id="0">
    <w:p w14:paraId="0D5455A3" w14:textId="77777777" w:rsidR="00AB245E" w:rsidRDefault="00AB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86806" w:rsidRDefault="00986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D5ED6" w14:textId="77777777" w:rsidR="00AB245E" w:rsidRDefault="00AB245E">
      <w:r>
        <w:separator/>
      </w:r>
    </w:p>
  </w:footnote>
  <w:footnote w:type="continuationSeparator" w:id="0">
    <w:p w14:paraId="24DEA8E7" w14:textId="77777777" w:rsidR="00AB245E" w:rsidRDefault="00AB2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8"/>
  </w:num>
  <w:num w:numId="4">
    <w:abstractNumId w:val="28"/>
  </w:num>
  <w:num w:numId="5">
    <w:abstractNumId w:val="10"/>
  </w:num>
  <w:num w:numId="6">
    <w:abstractNumId w:val="3"/>
  </w:num>
  <w:num w:numId="7">
    <w:abstractNumId w:val="19"/>
  </w:num>
  <w:num w:numId="8">
    <w:abstractNumId w:val="9"/>
  </w:num>
  <w:num w:numId="9">
    <w:abstractNumId w:val="20"/>
  </w:num>
  <w:num w:numId="10">
    <w:abstractNumId w:val="29"/>
  </w:num>
  <w:num w:numId="11">
    <w:abstractNumId w:val="16"/>
  </w:num>
  <w:num w:numId="12">
    <w:abstractNumId w:val="21"/>
  </w:num>
  <w:num w:numId="13">
    <w:abstractNumId w:val="2"/>
  </w:num>
  <w:num w:numId="14">
    <w:abstractNumId w:val="12"/>
  </w:num>
  <w:num w:numId="15">
    <w:abstractNumId w:val="15"/>
  </w:num>
  <w:num w:numId="16">
    <w:abstractNumId w:val="1"/>
  </w:num>
  <w:num w:numId="17">
    <w:abstractNumId w:val="27"/>
  </w:num>
  <w:num w:numId="18">
    <w:abstractNumId w:val="11"/>
  </w:num>
  <w:num w:numId="19">
    <w:abstractNumId w:val="8"/>
  </w:num>
  <w:num w:numId="20">
    <w:abstractNumId w:val="13"/>
  </w:num>
  <w:num w:numId="21">
    <w:abstractNumId w:val="17"/>
  </w:num>
  <w:num w:numId="22">
    <w:abstractNumId w:val="4"/>
  </w:num>
  <w:num w:numId="23">
    <w:abstractNumId w:val="26"/>
  </w:num>
  <w:num w:numId="24">
    <w:abstractNumId w:val="25"/>
  </w:num>
  <w:num w:numId="25">
    <w:abstractNumId w:val="7"/>
  </w:num>
  <w:num w:numId="26">
    <w:abstractNumId w:val="22"/>
  </w:num>
  <w:num w:numId="27">
    <w:abstractNumId w:val="6"/>
  </w:num>
  <w:num w:numId="28">
    <w:abstractNumId w:val="23"/>
  </w:num>
  <w:num w:numId="29">
    <w:abstractNumId w:val="0"/>
  </w:num>
  <w:num w:numId="3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5D4"/>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chartTrackingRefBased/>
  <w15:docId w15:val="{40ACB72D-1292-43C6-9A7C-29779367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22733-128F-4683-ACE5-96702EFB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4</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9959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cp:lastModifiedBy>Laurent Noel</cp:lastModifiedBy>
  <cp:revision>9</cp:revision>
  <cp:lastPrinted>2010-01-07T15:23:00Z</cp:lastPrinted>
  <dcterms:created xsi:type="dcterms:W3CDTF">2019-02-15T19:05:00Z</dcterms:created>
  <dcterms:modified xsi:type="dcterms:W3CDTF">2019-02-15T22:17:00Z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